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1B0227" w:rsidRDefault="008D0B82" w:rsidP="001B02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54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2DF" w:rsidRPr="002C5463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2C5463">
        <w:rPr>
          <w:rFonts w:ascii="Times New Roman" w:hAnsi="Times New Roman" w:cs="Times New Roman"/>
          <w:sz w:val="28"/>
          <w:szCs w:val="28"/>
        </w:rPr>
        <w:t xml:space="preserve"> </w:t>
      </w:r>
      <w:r w:rsidR="00D019D0" w:rsidRPr="002C5463">
        <w:rPr>
          <w:rFonts w:ascii="Times New Roman" w:hAnsi="Times New Roman" w:cs="Times New Roman"/>
          <w:sz w:val="28"/>
          <w:szCs w:val="28"/>
        </w:rPr>
        <w:t xml:space="preserve"> </w:t>
      </w:r>
      <w:r w:rsidR="002C5463" w:rsidRPr="002C546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019D0" w:rsidRPr="002C5463">
        <w:rPr>
          <w:rFonts w:ascii="Times New Roman" w:hAnsi="Times New Roman" w:cs="Times New Roman"/>
          <w:sz w:val="28"/>
          <w:szCs w:val="28"/>
        </w:rPr>
        <w:t>Токарё</w:t>
      </w:r>
      <w:r w:rsidR="00054AF8" w:rsidRPr="002C5463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7C25BE" w:rsidRPr="002C546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2C5463">
        <w:rPr>
          <w:rFonts w:ascii="Times New Roman" w:hAnsi="Times New Roman" w:cs="Times New Roman"/>
          <w:sz w:val="28"/>
          <w:szCs w:val="28"/>
        </w:rPr>
        <w:t xml:space="preserve"> Тамбовской </w:t>
      </w:r>
      <w:r w:rsidR="00346049" w:rsidRPr="002C546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C54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5463" w:rsidRPr="002C546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проезд»</w:t>
      </w:r>
      <w:r w:rsidR="001B0227">
        <w:rPr>
          <w:rFonts w:ascii="Times New Roman" w:hAnsi="Times New Roman" w:cs="Times New Roman"/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1B022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12.12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201B1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18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01B1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28200A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82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1B0227" w:rsidRPr="002C5463">
        <w:rPr>
          <w:rFonts w:ascii="Times New Roman" w:hAnsi="Times New Roman" w:cs="Times New Roman"/>
          <w:sz w:val="28"/>
          <w:szCs w:val="28"/>
        </w:rPr>
        <w:t>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</w:t>
      </w:r>
      <w:r w:rsidR="001961C7" w:rsidRPr="00282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4B579F" w:rsidRDefault="002D5FAE" w:rsidP="004B579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</w:t>
      </w:r>
      <w:r w:rsidR="001B0227">
        <w:rPr>
          <w:sz w:val="28"/>
          <w:szCs w:val="28"/>
        </w:rPr>
        <w:t>постановления администрации</w:t>
      </w:r>
      <w:r w:rsidR="00E20CBE">
        <w:rPr>
          <w:sz w:val="28"/>
          <w:szCs w:val="28"/>
        </w:rPr>
        <w:t xml:space="preserve">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1B0227" w:rsidRPr="002C5463">
        <w:rPr>
          <w:sz w:val="28"/>
          <w:szCs w:val="28"/>
        </w:rPr>
        <w:t>«</w:t>
      </w:r>
      <w:r w:rsidR="00FA5797" w:rsidRPr="002C5463">
        <w:rPr>
          <w:sz w:val="28"/>
          <w:szCs w:val="28"/>
        </w:rPr>
        <w:t>Об утверждении 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9A7A52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9A7A52" w:rsidRPr="009A7A52" w:rsidRDefault="009A7A52" w:rsidP="002051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7A52">
        <w:rPr>
          <w:rFonts w:ascii="Times New Roman" w:hAnsi="Times New Roman" w:cs="Times New Roman"/>
          <w:sz w:val="28"/>
          <w:szCs w:val="28"/>
        </w:rPr>
        <w:t>П</w:t>
      </w:r>
      <w:r w:rsidRPr="009A7A52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 от 18.09.2020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</w:r>
      <w:r w:rsidRPr="009A7A52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F" w:rsidRPr="00E5337B" w:rsidRDefault="003C02DF" w:rsidP="00E5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CD" w:rsidRDefault="00294BCD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18F" w:rsidRDefault="00FA5797" w:rsidP="009F418F">
      <w:pPr>
        <w:pStyle w:val="11"/>
        <w:spacing w:after="0" w:line="240" w:lineRule="auto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по проекту  постановления администрации Токарёвского муниципального округа Тамбовской области            «Об утверждении 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проезд»</w:t>
      </w:r>
    </w:p>
    <w:p w:rsidR="00FA5797" w:rsidRDefault="00FA5797" w:rsidP="009F418F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CD" w:rsidRDefault="00294BCD" w:rsidP="00294BCD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</w:t>
      </w: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94BCD" w:rsidRDefault="00294BCD" w:rsidP="003900B8">
      <w:pPr>
        <w:pStyle w:val="a7"/>
        <w:spacing w:after="0" w:line="240" w:lineRule="auto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по проекту  постановления администрации Токарёвского муниципального округа Тамбовской области            «Об утверждении 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проезд»</w:t>
      </w:r>
    </w:p>
    <w:p w:rsidR="00294BCD" w:rsidRDefault="00294BCD" w:rsidP="003900B8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3D0269" w:rsidRPr="00E5337B" w:rsidRDefault="009F418F" w:rsidP="003900B8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294BCD">
        <w:rPr>
          <w:sz w:val="28"/>
          <w:szCs w:val="28"/>
        </w:rPr>
        <w:t>Проект</w:t>
      </w:r>
      <w:r w:rsidR="00294BCD" w:rsidRPr="002C5463">
        <w:rPr>
          <w:sz w:val="28"/>
          <w:szCs w:val="28"/>
        </w:rPr>
        <w:t xml:space="preserve">  постановления администрации Токарёвского муниципального округа Тамбовской области            «Об утверждении 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E5337B" w:rsidRDefault="003D0269" w:rsidP="00E5337B">
      <w:pPr>
        <w:pStyle w:val="a7"/>
        <w:spacing w:after="0" w:line="240" w:lineRule="auto"/>
        <w:jc w:val="both"/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294BCD" w:rsidRPr="002C5463">
        <w:rPr>
          <w:sz w:val="28"/>
          <w:szCs w:val="28"/>
        </w:rPr>
        <w:t>постановления администрации Токарёвского муниципального округа Тамбовской области            «Об утверждении Порядка предоставления из бюджета Токарёвского муниципального округа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B6" w:rsidRDefault="005B0AB6" w:rsidP="004B579F">
      <w:pPr>
        <w:spacing w:after="0" w:line="240" w:lineRule="auto"/>
      </w:pPr>
      <w:r>
        <w:separator/>
      </w:r>
    </w:p>
  </w:endnote>
  <w:endnote w:type="continuationSeparator" w:id="1">
    <w:p w:rsidR="005B0AB6" w:rsidRDefault="005B0AB6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B6" w:rsidRDefault="005B0AB6" w:rsidP="004B579F">
      <w:pPr>
        <w:spacing w:after="0" w:line="240" w:lineRule="auto"/>
      </w:pPr>
      <w:r>
        <w:separator/>
      </w:r>
    </w:p>
  </w:footnote>
  <w:footnote w:type="continuationSeparator" w:id="1">
    <w:p w:rsidR="005B0AB6" w:rsidRDefault="005B0AB6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227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B13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4BCD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5463"/>
    <w:rsid w:val="002C73F7"/>
    <w:rsid w:val="002C798F"/>
    <w:rsid w:val="002D01ED"/>
    <w:rsid w:val="002D0556"/>
    <w:rsid w:val="002D0762"/>
    <w:rsid w:val="002D0B56"/>
    <w:rsid w:val="002D2077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AB6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07F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A55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A7A52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3EE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5797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  <w:style w:type="paragraph" w:customStyle="1" w:styleId="ConsPlusTitle">
    <w:name w:val="ConsPlusTitle"/>
    <w:rsid w:val="002C546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140</cp:revision>
  <cp:lastPrinted>2023-11-27T10:42:00Z</cp:lastPrinted>
  <dcterms:created xsi:type="dcterms:W3CDTF">2019-05-20T18:31:00Z</dcterms:created>
  <dcterms:modified xsi:type="dcterms:W3CDTF">2023-12-12T13:41:00Z</dcterms:modified>
</cp:coreProperties>
</file>