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98090B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лизации национальных проектов 05.03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/>
      </w:tblPr>
      <w:tblGrid>
        <w:gridCol w:w="2507"/>
        <w:gridCol w:w="707"/>
        <w:gridCol w:w="5152"/>
        <w:gridCol w:w="407"/>
        <w:gridCol w:w="2555"/>
        <w:gridCol w:w="559"/>
        <w:gridCol w:w="1416"/>
        <w:gridCol w:w="565"/>
        <w:gridCol w:w="1770"/>
        <w:gridCol w:w="63"/>
      </w:tblGrid>
      <w:tr w:rsidR="00D70A23" w:rsidRPr="00D70A23" w:rsidTr="001905F5">
        <w:trPr>
          <w:gridAfter w:val="1"/>
          <w:wAfter w:w="63" w:type="dxa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1905F5">
        <w:trPr>
          <w:gridAfter w:val="1"/>
          <w:wAfter w:w="63" w:type="dxa"/>
        </w:trPr>
        <w:tc>
          <w:tcPr>
            <w:tcW w:w="15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1905F5">
        <w:trPr>
          <w:gridAfter w:val="1"/>
          <w:wAfter w:w="63" w:type="dxa"/>
          <w:trHeight w:val="144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Токарёвского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р.п.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-фед.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-местн. бюджет 1 608 008,01 руб. 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F931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57,3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В течение143 дней с даты подписания Контракта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D29F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с даты </w:t>
            </w:r>
            <w:r w:rsidRPr="005A7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заключения</w:t>
            </w:r>
          </w:p>
          <w:p w:rsidR="005A76DE" w:rsidRP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В течение 35 рабочих дней с даты заключения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Касса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4042D5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="00306F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BB52CC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2CC">
              <w:rPr>
                <w:rFonts w:ascii="Times New Roman" w:hAnsi="Times New Roman"/>
                <w:b/>
                <w:sz w:val="24"/>
                <w:szCs w:val="24"/>
              </w:rPr>
              <w:t>12апреля 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D29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сдаты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поставки</w:t>
            </w: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15.03.2024 аванс 30%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01.07.2024</w:t>
            </w:r>
          </w:p>
          <w:p w:rsidR="004A07BC" w:rsidRPr="00D70A23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оплата 70%</w:t>
            </w:r>
          </w:p>
          <w:p w:rsidR="00306F0B" w:rsidRDefault="00306F0B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E1F" w:rsidRDefault="00370E1F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течение 15 рабочих дней с даты поставки</w:t>
            </w:r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1905F5">
        <w:trPr>
          <w:gridAfter w:val="1"/>
          <w:wAfter w:w="63" w:type="dxa"/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1 989 000, 23 рублей.</w:t>
            </w:r>
          </w:p>
          <w:p w:rsidR="00306F0B" w:rsidRPr="00D70A23" w:rsidRDefault="00306F0B" w:rsidP="00A0443F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 прямых договора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Камелот»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</w:rPr>
              <w:t xml:space="preserve">1.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306F0B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D70A2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1905F5">
        <w:trPr>
          <w:gridAfter w:val="1"/>
          <w:wAfter w:w="63" w:type="dxa"/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64C6E" w:rsidRDefault="00164C6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ВСЕГО:</w:t>
            </w:r>
            <w:r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F20183"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 8</w:t>
            </w:r>
            <w:bookmarkStart w:id="0" w:name="_GoBack"/>
            <w:bookmarkEnd w:id="0"/>
            <w:r w:rsidR="00F20183"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63 163, 32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 w:rsidR="00E23D9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76110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2 594 687,68)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A0443F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1 664 653, 39 рублей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проторговано 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–793 802,68 руб.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экономия 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870 850,71 руб.  5</w:t>
            </w:r>
            <w:r w:rsid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2,3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%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  <w:r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,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991 411, 01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2424BA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28.02.2024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54BE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№0164200001924000160_243687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</w:p>
          <w:p w:rsidR="002424BA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523 091,68 руб;</w:t>
            </w:r>
          </w:p>
          <w:p w:rsidR="00F503C2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990E34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Срок оплаты 22.08.2024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EC3C16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468 319,33 руб.</w:t>
            </w:r>
          </w:p>
          <w:p w:rsidR="006B2D13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E23D91" w:rsidRDefault="00F503C2" w:rsidP="00E23D91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673 242, 38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 </w:t>
            </w:r>
          </w:p>
          <w:p w:rsidR="002424BA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54BE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от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54BE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27.02.2024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 сумму 270 711,00 руб;</w:t>
            </w:r>
          </w:p>
          <w:p w:rsidR="004F5488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2424BA" w:rsidRDefault="002424BA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EC3C16" w:rsidRDefault="006B2D13" w:rsidP="006B2D13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402 531,38 руб</w:t>
            </w:r>
            <w:r w:rsid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901C9B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Общая сумма экономии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870 850,71 руб.</w:t>
            </w: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Pr="00990E34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BD29FA" w:rsidRDefault="00BD29F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6B2D13" w:rsidRPr="000F3C67" w:rsidRDefault="006B2D13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r w:rsidR="00E23D91"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–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67,2</w:t>
            </w: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8B00FD" w:rsidRPr="000F3C67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ООО«База»-426 000,00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</w:t>
            </w:r>
            <w:r w:rsidR="0040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B52CC">
              <w:rPr>
                <w:rFonts w:ascii="Times New Roman" w:hAnsi="Times New Roman"/>
                <w:b/>
                <w:color w:val="000000"/>
              </w:rPr>
              <w:t>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«ТачЛаб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="0040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0F3C67" w:rsidRDefault="000F3C6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60D09" w:rsidRDefault="003E1C90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Мясняков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44200 руб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№17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15.02.2024 </w:t>
            </w:r>
            <w:r w:rsidR="00370E1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A07B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флешка к видеокамере,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(рециркулятор бактерицидный, сушилка для рук, унитаз-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1/177 от 16.02.2024 г.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ген.дир.</w:t>
            </w:r>
            <w:r w:rsidR="00370E1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Дегтярев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(сплит-система —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1905F5">
        <w:trPr>
          <w:gridAfter w:val="1"/>
          <w:wAfter w:w="63" w:type="dxa"/>
          <w:trHeight w:val="1715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831AB0" w:rsidRPr="00820CF3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2424BA" w:rsidRDefault="005E7EBD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Электронный аукцион на сумму       </w:t>
            </w:r>
            <w:r w:rsidR="00831AB0"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580 629,97 рублей</w:t>
            </w:r>
          </w:p>
          <w:p w:rsidR="00831AB0" w:rsidRPr="002424BA" w:rsidRDefault="00164C6E" w:rsidP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A56103"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.02.2024- заявка в Министерство имущественных отношений и госзаказа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D33CF4" w:rsidRPr="002424BA" w:rsidRDefault="008F3B57" w:rsidP="00D33CF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26.0</w:t>
            </w:r>
            <w:r w:rsidR="00CD586E"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2.2024-</w:t>
            </w:r>
            <w:r w:rsidR="00D33CF4"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опубликовано 2 извещения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560D09" w:rsidRPr="002424BA" w:rsidRDefault="00D33CF4" w:rsidP="00D33CF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 на сумму: 421 780 рублей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D33CF4" w:rsidRPr="002424BA" w:rsidRDefault="00D33CF4" w:rsidP="00D33CF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 на сумму: 158 849, 97 рублей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D33CF4" w:rsidRDefault="002424BA" w:rsidP="009809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11.03.2024 подведение итогов аукциона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D33CF4" w:rsidRPr="00AA1EC5" w:rsidRDefault="005E7EBD" w:rsidP="002424BA">
            <w:pPr>
              <w:pStyle w:val="a5"/>
              <w:tabs>
                <w:tab w:val="left" w:pos="1223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22.03.2024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>дата заключения Контракта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</w:t>
            </w:r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1905F5">
        <w:trPr>
          <w:gridAfter w:val="1"/>
          <w:wAfter w:w="63" w:type="dxa"/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424BA" w:rsidRDefault="00B05E5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 сумму       1 565 206, 48 рублей.</w:t>
            </w:r>
          </w:p>
          <w:p w:rsidR="00067F49" w:rsidRPr="002424BA" w:rsidRDefault="00164C6E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  <w:r w:rsidR="00067F49"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.02.2024- заявка в Министерство имущественных отношений и госзаказа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  <w:r w:rsidR="00067F49"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D33CF4" w:rsidRPr="002424BA" w:rsidRDefault="008F3B57" w:rsidP="005E7EB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26.02. 2024-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опубликовано извещение;</w:t>
            </w:r>
          </w:p>
          <w:p w:rsidR="001905F5" w:rsidRDefault="002424BA" w:rsidP="00D33CF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11.03.2024 подведение итогов аукциона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AA1EC5" w:rsidRDefault="005E7EBD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22.03.2024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>дата заключения Контракта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Контрактование - </w:t>
            </w:r>
            <w:r w:rsid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Pr="00D70A2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1905F5">
        <w:trPr>
          <w:gridAfter w:val="1"/>
          <w:wAfter w:w="63" w:type="dxa"/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1905F5">
        <w:trPr>
          <w:gridAfter w:val="1"/>
          <w:wAfter w:w="63" w:type="dxa"/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A1EC5" w:rsidRDefault="00560D09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306F0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 w:rsidR="00A56103" w:rsidRP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1 608 008,01 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руб, 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306F0B" w:rsidRPr="00427851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 в стадии разработки проекта</w:t>
            </w:r>
          </w:p>
          <w:p w:rsidR="00306F0B" w:rsidRPr="00A0443F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 -0 %</w:t>
            </w:r>
          </w:p>
          <w:p w:rsidR="00306F0B" w:rsidRPr="00D70A23" w:rsidRDefault="00306F0B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1905F5">
        <w:trPr>
          <w:gridAfter w:val="1"/>
          <w:wAfter w:w="63" w:type="dxa"/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6B2D13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Итого </w:t>
            </w:r>
          </w:p>
          <w:p w:rsidR="00306F0B" w:rsidRPr="00AA1EC5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1E1F" w:rsidRDefault="00DA1E1F" w:rsidP="00DA1E1F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0566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57,3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</w:t>
            </w:r>
          </w:p>
          <w:p w:rsidR="00DA1E1F" w:rsidRPr="00A56103" w:rsidRDefault="0005668E" w:rsidP="00A56103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4 585 687</w:t>
            </w:r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,91 руб, в том числе:</w:t>
            </w:r>
          </w:p>
          <w:p w:rsidR="00306F0B" w:rsidRPr="00A56103" w:rsidRDefault="006B2D13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Заключено 1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ов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общую сумму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3 791 885,23</w:t>
            </w:r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руб</w:t>
            </w:r>
          </w:p>
          <w:p w:rsidR="00A56103" w:rsidRPr="00A56103" w:rsidRDefault="00A56103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2 контракта по аукциону  - 793 802,68 руб.</w:t>
            </w:r>
          </w:p>
          <w:p w:rsidR="00560D09" w:rsidRPr="00D70A23" w:rsidRDefault="00560D09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3162" w:rsidRPr="00B57081" w:rsidTr="001905F5">
        <w:tc>
          <w:tcPr>
            <w:tcW w:w="15701" w:type="dxa"/>
            <w:gridSpan w:val="10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lastRenderedPageBreak/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A5351" w:rsidRPr="00B57081" w:rsidTr="001905F5">
        <w:trPr>
          <w:trHeight w:val="3645"/>
        </w:trPr>
        <w:tc>
          <w:tcPr>
            <w:tcW w:w="3214" w:type="dxa"/>
            <w:gridSpan w:val="2"/>
            <w:vMerge w:val="restart"/>
          </w:tcPr>
          <w:p w:rsidR="001A5351" w:rsidRPr="00B57081" w:rsidRDefault="001A535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1A535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 лимитам выделено на 2023-2024 годы</w:t>
            </w:r>
            <w:r w:rsidR="00685F0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        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2 450 091,17 руб, в том числе 2023 г.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Pr="00B5708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1A5351" w:rsidRPr="00B57081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1A5351" w:rsidRPr="00BC1402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1A5351" w:rsidRDefault="001A5351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1A5351" w:rsidRPr="00BC1402" w:rsidRDefault="001A5351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51" w:rsidRPr="00C53544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gridSpan w:val="2"/>
          </w:tcPr>
          <w:p w:rsidR="001A5351" w:rsidRPr="007A5122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 от 30.06.2023 на продление срока по 14.07.2023 г</w:t>
            </w:r>
          </w:p>
          <w:p w:rsidR="001A5351" w:rsidRPr="00C53544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2398" w:type="dxa"/>
            <w:gridSpan w:val="3"/>
          </w:tcPr>
          <w:p w:rsidR="001A5351" w:rsidRPr="007A5122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1A5351" w:rsidRPr="00BD168E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5351" w:rsidRPr="00B57081" w:rsidTr="001905F5">
        <w:trPr>
          <w:trHeight w:val="2415"/>
        </w:trPr>
        <w:tc>
          <w:tcPr>
            <w:tcW w:w="3214" w:type="dxa"/>
            <w:gridSpan w:val="2"/>
            <w:vMerge/>
          </w:tcPr>
          <w:p w:rsidR="001A5351" w:rsidRPr="00B57081" w:rsidRDefault="001A5351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B606FF" w:rsidRDefault="001A5351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1A5351" w:rsidRDefault="007B3003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 w:rsidR="007B3003">
              <w:rPr>
                <w:rFonts w:ascii="Times New Roman" w:hAnsi="Times New Roman"/>
                <w:sz w:val="24"/>
                <w:szCs w:val="24"/>
              </w:rPr>
              <w:t xml:space="preserve">1 057 </w:t>
            </w:r>
            <w:r w:rsidR="00B606FF">
              <w:rPr>
                <w:rFonts w:ascii="Times New Roman" w:hAnsi="Times New Roman"/>
                <w:sz w:val="24"/>
                <w:szCs w:val="24"/>
              </w:rPr>
              <w:t>585</w:t>
            </w:r>
            <w:r w:rsidR="007B3003">
              <w:rPr>
                <w:rFonts w:ascii="Times New Roman" w:hAnsi="Times New Roman"/>
                <w:sz w:val="24"/>
                <w:szCs w:val="24"/>
              </w:rPr>
              <w:t>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583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1A535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</w:t>
            </w:r>
            <w:r w:rsidR="00B606FF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(софинансирование)1 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080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</w:t>
            </w:r>
          </w:p>
          <w:p w:rsidR="001A5351" w:rsidRPr="00B57081" w:rsidRDefault="00B606FF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73 928, 23 тыс.</w:t>
            </w:r>
            <w:r w:rsidR="00FA2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3003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7B3003" w:rsidRPr="00B57081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7B3003" w:rsidRPr="00BC1402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7B3003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 w:rsidR="005A45B3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C8484D" w:rsidRPr="007B3003" w:rsidRDefault="001A5351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C8484D" w:rsidRPr="00B57081" w:rsidRDefault="007B3003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1975" w:type="dxa"/>
            <w:gridSpan w:val="2"/>
          </w:tcPr>
          <w:p w:rsidR="001A5351" w:rsidRPr="007A5122" w:rsidRDefault="001A5351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2 этапа планируется закончить </w:t>
            </w:r>
            <w:r w:rsidR="00B606FF"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30.06.2024</w:t>
            </w: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2398" w:type="dxa"/>
            <w:gridSpan w:val="3"/>
          </w:tcPr>
          <w:p w:rsidR="00227F07" w:rsidRPr="00A174CA" w:rsidRDefault="00227F07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1A5351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1166" w:rsidRPr="00B57081" w:rsidTr="001905F5">
        <w:tc>
          <w:tcPr>
            <w:tcW w:w="3214" w:type="dxa"/>
            <w:gridSpan w:val="2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р.п. Токаревка, ул.</w:t>
            </w:r>
            <w:r w:rsidR="006C06F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Маяковского, у д.1</w:t>
            </w:r>
          </w:p>
          <w:p w:rsidR="00F91166" w:rsidRPr="00B5708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Сумма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лимитов на 2024 год – 134 466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Pr="00B57081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7B3003" w:rsidRDefault="007B300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Контрактование </w:t>
            </w:r>
          </w:p>
          <w:p w:rsidR="00F91166" w:rsidRDefault="007B300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F91166"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 w:rsidR="005F5B1F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</w:p>
          <w:p w:rsidR="005F5B1F" w:rsidRDefault="005A45B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27.02.2024</w:t>
            </w:r>
            <w:r w:rsidR="005F5B1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="005F5B1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Жмылева Татьяна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Николаевна</w:t>
            </w:r>
          </w:p>
          <w:p w:rsidR="00F91166" w:rsidRPr="00A174CA" w:rsidRDefault="007B3003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01.03</w:t>
            </w:r>
            <w:r w:rsidR="00F91166">
              <w:rPr>
                <w:rFonts w:ascii="Times New Roman" w:hAnsi="Times New Roman"/>
                <w:b/>
                <w:sz w:val="24"/>
                <w:szCs w:val="24"/>
              </w:rPr>
              <w:t>.2024)</w:t>
            </w:r>
          </w:p>
        </w:tc>
        <w:tc>
          <w:tcPr>
            <w:tcW w:w="1975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5F5B1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</w:tc>
        <w:tc>
          <w:tcPr>
            <w:tcW w:w="2398" w:type="dxa"/>
            <w:gridSpan w:val="3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5F5B1F" w:rsidRPr="00A174CA" w:rsidRDefault="00C15C38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F5B1F">
              <w:rPr>
                <w:rFonts w:ascii="Times New Roman" w:hAnsi="Times New Roman"/>
                <w:b/>
                <w:sz w:val="24"/>
                <w:szCs w:val="24"/>
              </w:rPr>
              <w:t xml:space="preserve"> течение 7 рабочих дней с момента подписания товарной накладной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1905F5">
        <w:tc>
          <w:tcPr>
            <w:tcW w:w="15701" w:type="dxa"/>
            <w:gridSpan w:val="10"/>
          </w:tcPr>
          <w:p w:rsidR="00F91166" w:rsidRPr="00B409D1" w:rsidRDefault="00F91166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F91166" w:rsidRPr="00B409D1" w:rsidRDefault="00F91166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91166" w:rsidRPr="00B57081" w:rsidTr="001905F5">
        <w:tc>
          <w:tcPr>
            <w:tcW w:w="3214" w:type="dxa"/>
            <w:gridSpan w:val="2"/>
          </w:tcPr>
          <w:p w:rsidR="00F91166" w:rsidRPr="00B409D1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F91166" w:rsidRPr="00B409D1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«Семейная аллея»,             р.п. Токаревка, Парк.</w:t>
            </w:r>
          </w:p>
          <w:p w:rsidR="00F91166" w:rsidRPr="00B409D1" w:rsidRDefault="00F91166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F91166" w:rsidRPr="00B409D1" w:rsidRDefault="00F91166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="0015667C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21,234 46</w:t>
            </w: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фед. бюджет 0 тыс. руб., 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-местн. бюджет 2 500 тыс. руб.,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Контрактование 0 %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91166" w:rsidRPr="00B57081" w:rsidTr="001905F5">
        <w:tc>
          <w:tcPr>
            <w:tcW w:w="15701" w:type="dxa"/>
            <w:gridSpan w:val="10"/>
          </w:tcPr>
          <w:p w:rsidR="00F91166" w:rsidRPr="00B409D1" w:rsidRDefault="00F91166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F91166" w:rsidRPr="00B57081" w:rsidTr="001905F5">
        <w:tc>
          <w:tcPr>
            <w:tcW w:w="3214" w:type="dxa"/>
            <w:gridSpan w:val="2"/>
          </w:tcPr>
          <w:p w:rsidR="00F91166" w:rsidRPr="00B409D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5559" w:type="dxa"/>
            <w:gridSpan w:val="2"/>
          </w:tcPr>
          <w:p w:rsidR="00F91166" w:rsidRPr="00B409D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Стоимость проекта </w:t>
            </w:r>
          </w:p>
          <w:p w:rsidR="00F91166" w:rsidRPr="00B409D1" w:rsidRDefault="00B81AB7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11 793,26</w:t>
            </w:r>
            <w:r w:rsidR="00F91166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тыс. рублей, </w:t>
            </w:r>
          </w:p>
          <w:p w:rsidR="00F91166" w:rsidRPr="00B409D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в том числе:</w:t>
            </w:r>
          </w:p>
          <w:p w:rsidR="00F91166" w:rsidRPr="00B409D1" w:rsidRDefault="00F91166" w:rsidP="00176715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9</w:t>
            </w:r>
            <w:r w:rsidR="00B81AB7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 602,2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тыс. рублей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B81AB7" w:rsidRPr="00B409D1" w:rsidRDefault="00B81AB7" w:rsidP="00176715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местн. Бюджет (софинансирование)195,963 тыс. руб</w:t>
            </w:r>
          </w:p>
          <w:p w:rsidR="00F91166" w:rsidRPr="00B409D1" w:rsidRDefault="00F91166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местн. бюджет 1</w:t>
            </w:r>
            <w:r w:rsidR="00B81AB7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995,1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руб., </w:t>
            </w:r>
          </w:p>
        </w:tc>
        <w:tc>
          <w:tcPr>
            <w:tcW w:w="2555" w:type="dxa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Контрактование 0 %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91166" w:rsidRPr="00B57081" w:rsidTr="001905F5">
        <w:tc>
          <w:tcPr>
            <w:tcW w:w="15701" w:type="dxa"/>
            <w:gridSpan w:val="10"/>
          </w:tcPr>
          <w:p w:rsidR="00F91166" w:rsidRPr="007A5122" w:rsidRDefault="00F9116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F91166" w:rsidRPr="00B57081" w:rsidTr="001905F5">
        <w:tc>
          <w:tcPr>
            <w:tcW w:w="3214" w:type="dxa"/>
            <w:gridSpan w:val="2"/>
          </w:tcPr>
          <w:p w:rsidR="00F91166" w:rsidRPr="00B57081" w:rsidRDefault="00F91166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средств предприятия.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91166" w:rsidRPr="00F22CD7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5"/>
          </w:tcPr>
          <w:p w:rsidR="00F91166" w:rsidRPr="00653CCB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4400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 (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% от плана) 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январь  548 кв.м;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244 кв.м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март 168 кв.м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апрель 162 кв.м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май 90 кв.м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июнь 213 кв. 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июль 186 кв.м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август 1247 кв.м</w:t>
            </w:r>
          </w:p>
          <w:p w:rsidR="00F91166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сентябрь 1049 кв.м</w:t>
            </w:r>
          </w:p>
          <w:p w:rsidR="00F91166" w:rsidRPr="00B57081" w:rsidRDefault="00F91166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октябрь 493 кв. м</w:t>
            </w:r>
          </w:p>
        </w:tc>
      </w:tr>
      <w:tr w:rsidR="00F91166" w:rsidRPr="00B57081" w:rsidTr="001905F5">
        <w:trPr>
          <w:trHeight w:val="2825"/>
        </w:trPr>
        <w:tc>
          <w:tcPr>
            <w:tcW w:w="11328" w:type="dxa"/>
            <w:gridSpan w:val="5"/>
          </w:tcPr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Проведены 2 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на 21 участок (в собственность птицефабрики)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Виталий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Александр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Юрий Васильевич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 10 участков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 Наталья Алексеевна 3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 Артем Аркадьевич 3 участка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 Роман Викторович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Бормотов Александр Валерьевич 1 участок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 Владимир Вячеславович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D92A61">
              <w:rPr>
                <w:b w:val="0"/>
                <w:sz w:val="24"/>
                <w:szCs w:val="24"/>
              </w:rPr>
              <w:t>ГуловАбдусаттор Эльмуродович1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 М.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F91166" w:rsidRPr="0000203E" w:rsidRDefault="00F91166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4373" w:type="dxa"/>
            <w:gridSpan w:val="5"/>
          </w:tcPr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свободны 47 участков под ИЖС. </w:t>
            </w:r>
          </w:p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сформированы</w:t>
            </w:r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F91166" w:rsidRPr="0000203E" w:rsidRDefault="00F9116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E00" w:rsidRDefault="00304E00" w:rsidP="005D18C8">
      <w:pPr>
        <w:spacing w:after="0" w:line="240" w:lineRule="auto"/>
      </w:pPr>
      <w:r>
        <w:separator/>
      </w:r>
    </w:p>
  </w:endnote>
  <w:endnote w:type="continuationSeparator" w:id="1">
    <w:p w:rsidR="00304E00" w:rsidRDefault="00304E00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2424BA" w:rsidRDefault="002424BA">
        <w:pPr>
          <w:pStyle w:val="a9"/>
          <w:jc w:val="center"/>
        </w:pPr>
        <w:fldSimple w:instr="PAGE   \* MERGEFORMAT">
          <w:r w:rsidR="00A14DFD">
            <w:rPr>
              <w:noProof/>
            </w:rPr>
            <w:t>3</w:t>
          </w:r>
        </w:fldSimple>
      </w:p>
    </w:sdtContent>
  </w:sdt>
  <w:p w:rsidR="002424BA" w:rsidRDefault="002424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E00" w:rsidRDefault="00304E00" w:rsidP="005D18C8">
      <w:pPr>
        <w:spacing w:after="0" w:line="240" w:lineRule="auto"/>
      </w:pPr>
      <w:r>
        <w:separator/>
      </w:r>
    </w:p>
  </w:footnote>
  <w:footnote w:type="continuationSeparator" w:id="1">
    <w:p w:rsidR="00304E00" w:rsidRDefault="00304E00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C01BF"/>
    <w:rsid w:val="000C11FC"/>
    <w:rsid w:val="000C5151"/>
    <w:rsid w:val="000C68DD"/>
    <w:rsid w:val="000C7247"/>
    <w:rsid w:val="000C73D4"/>
    <w:rsid w:val="000C74C6"/>
    <w:rsid w:val="000D051A"/>
    <w:rsid w:val="000D2023"/>
    <w:rsid w:val="000E5E6B"/>
    <w:rsid w:val="000F3C67"/>
    <w:rsid w:val="000F5089"/>
    <w:rsid w:val="000F6564"/>
    <w:rsid w:val="0010002A"/>
    <w:rsid w:val="00102F39"/>
    <w:rsid w:val="00112BB5"/>
    <w:rsid w:val="001150E2"/>
    <w:rsid w:val="00117391"/>
    <w:rsid w:val="00122F80"/>
    <w:rsid w:val="00124F78"/>
    <w:rsid w:val="001307D4"/>
    <w:rsid w:val="00132065"/>
    <w:rsid w:val="00133DFF"/>
    <w:rsid w:val="00135002"/>
    <w:rsid w:val="00142B10"/>
    <w:rsid w:val="00142F09"/>
    <w:rsid w:val="00143C1A"/>
    <w:rsid w:val="0014507F"/>
    <w:rsid w:val="0015667C"/>
    <w:rsid w:val="00163F0E"/>
    <w:rsid w:val="00164C6E"/>
    <w:rsid w:val="00164DE9"/>
    <w:rsid w:val="00165D10"/>
    <w:rsid w:val="001701B2"/>
    <w:rsid w:val="00173188"/>
    <w:rsid w:val="00175371"/>
    <w:rsid w:val="00175B64"/>
    <w:rsid w:val="00176715"/>
    <w:rsid w:val="00176B20"/>
    <w:rsid w:val="00183C73"/>
    <w:rsid w:val="001852A7"/>
    <w:rsid w:val="0018647D"/>
    <w:rsid w:val="001905F5"/>
    <w:rsid w:val="0019090E"/>
    <w:rsid w:val="00197CDF"/>
    <w:rsid w:val="001A04C7"/>
    <w:rsid w:val="001A5351"/>
    <w:rsid w:val="001B0F3F"/>
    <w:rsid w:val="001B2BCB"/>
    <w:rsid w:val="001C05A6"/>
    <w:rsid w:val="001C1911"/>
    <w:rsid w:val="001C6519"/>
    <w:rsid w:val="001D1DC4"/>
    <w:rsid w:val="001D38D4"/>
    <w:rsid w:val="001D5EEF"/>
    <w:rsid w:val="001D7971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BD4"/>
    <w:rsid w:val="00227F07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D16F3"/>
    <w:rsid w:val="002D5DC4"/>
    <w:rsid w:val="002E2A75"/>
    <w:rsid w:val="002E5EE6"/>
    <w:rsid w:val="002E68F6"/>
    <w:rsid w:val="002E72C7"/>
    <w:rsid w:val="002E77A9"/>
    <w:rsid w:val="002E7D1F"/>
    <w:rsid w:val="003025B4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403AE4"/>
    <w:rsid w:val="004042D5"/>
    <w:rsid w:val="00407332"/>
    <w:rsid w:val="00427851"/>
    <w:rsid w:val="004325A1"/>
    <w:rsid w:val="004411AC"/>
    <w:rsid w:val="004423E8"/>
    <w:rsid w:val="00442B22"/>
    <w:rsid w:val="00452D0E"/>
    <w:rsid w:val="004573AE"/>
    <w:rsid w:val="00463007"/>
    <w:rsid w:val="00464F54"/>
    <w:rsid w:val="00471A64"/>
    <w:rsid w:val="00482153"/>
    <w:rsid w:val="0048256B"/>
    <w:rsid w:val="00493B56"/>
    <w:rsid w:val="00494251"/>
    <w:rsid w:val="004A07BC"/>
    <w:rsid w:val="004A5D88"/>
    <w:rsid w:val="004B4024"/>
    <w:rsid w:val="004B41F3"/>
    <w:rsid w:val="004B6FA8"/>
    <w:rsid w:val="004B79CA"/>
    <w:rsid w:val="004C2C59"/>
    <w:rsid w:val="004D17A2"/>
    <w:rsid w:val="004D4EC8"/>
    <w:rsid w:val="004D51C1"/>
    <w:rsid w:val="004D5B26"/>
    <w:rsid w:val="004D74B0"/>
    <w:rsid w:val="004E5FD1"/>
    <w:rsid w:val="004F0515"/>
    <w:rsid w:val="004F5488"/>
    <w:rsid w:val="004F657A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5CE6"/>
    <w:rsid w:val="005813B7"/>
    <w:rsid w:val="00581B0B"/>
    <w:rsid w:val="00582A6D"/>
    <w:rsid w:val="00590D2F"/>
    <w:rsid w:val="00591EC5"/>
    <w:rsid w:val="005A45B3"/>
    <w:rsid w:val="005A76DE"/>
    <w:rsid w:val="005C51C9"/>
    <w:rsid w:val="005D18C8"/>
    <w:rsid w:val="005D3F47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4457"/>
    <w:rsid w:val="0060590A"/>
    <w:rsid w:val="00606210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1C4F"/>
    <w:rsid w:val="0068275F"/>
    <w:rsid w:val="00682A52"/>
    <w:rsid w:val="00685F04"/>
    <w:rsid w:val="00693CFB"/>
    <w:rsid w:val="006944D5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110F"/>
    <w:rsid w:val="00765367"/>
    <w:rsid w:val="00770FC8"/>
    <w:rsid w:val="00773EEE"/>
    <w:rsid w:val="00775C57"/>
    <w:rsid w:val="0077609A"/>
    <w:rsid w:val="00780E33"/>
    <w:rsid w:val="0078242E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175B"/>
    <w:rsid w:val="00857A24"/>
    <w:rsid w:val="00862555"/>
    <w:rsid w:val="00866121"/>
    <w:rsid w:val="00867051"/>
    <w:rsid w:val="008803BA"/>
    <w:rsid w:val="008836D0"/>
    <w:rsid w:val="0088650C"/>
    <w:rsid w:val="0088744D"/>
    <w:rsid w:val="008976B1"/>
    <w:rsid w:val="008A04FA"/>
    <w:rsid w:val="008A5BF1"/>
    <w:rsid w:val="008B00FD"/>
    <w:rsid w:val="008B0AC7"/>
    <w:rsid w:val="008B267D"/>
    <w:rsid w:val="008B59CA"/>
    <w:rsid w:val="008C25B0"/>
    <w:rsid w:val="008C51D8"/>
    <w:rsid w:val="008D285E"/>
    <w:rsid w:val="008D3826"/>
    <w:rsid w:val="008D6F88"/>
    <w:rsid w:val="008E1A45"/>
    <w:rsid w:val="008E53FB"/>
    <w:rsid w:val="008F05D8"/>
    <w:rsid w:val="008F1F15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727E9"/>
    <w:rsid w:val="0098090B"/>
    <w:rsid w:val="009810EB"/>
    <w:rsid w:val="00990E34"/>
    <w:rsid w:val="00991552"/>
    <w:rsid w:val="00991F94"/>
    <w:rsid w:val="00994C4B"/>
    <w:rsid w:val="009A34C6"/>
    <w:rsid w:val="009A53B6"/>
    <w:rsid w:val="009B3661"/>
    <w:rsid w:val="009B788D"/>
    <w:rsid w:val="009C0235"/>
    <w:rsid w:val="009C79F4"/>
    <w:rsid w:val="009D71E2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34C00"/>
    <w:rsid w:val="00A40F8E"/>
    <w:rsid w:val="00A47BAF"/>
    <w:rsid w:val="00A546B4"/>
    <w:rsid w:val="00A56103"/>
    <w:rsid w:val="00A600EC"/>
    <w:rsid w:val="00A67CE4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8F1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168E"/>
    <w:rsid w:val="00BD2082"/>
    <w:rsid w:val="00BD23C2"/>
    <w:rsid w:val="00BD2891"/>
    <w:rsid w:val="00BD29FA"/>
    <w:rsid w:val="00BD4515"/>
    <w:rsid w:val="00BD7BBF"/>
    <w:rsid w:val="00BE0487"/>
    <w:rsid w:val="00BE4C01"/>
    <w:rsid w:val="00BE51A3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51565"/>
    <w:rsid w:val="00C53544"/>
    <w:rsid w:val="00C53ABE"/>
    <w:rsid w:val="00C601C4"/>
    <w:rsid w:val="00C60EAE"/>
    <w:rsid w:val="00C7599D"/>
    <w:rsid w:val="00C7614B"/>
    <w:rsid w:val="00C8484D"/>
    <w:rsid w:val="00C866BE"/>
    <w:rsid w:val="00C867CD"/>
    <w:rsid w:val="00C86D05"/>
    <w:rsid w:val="00C95E28"/>
    <w:rsid w:val="00CA1A52"/>
    <w:rsid w:val="00CB0571"/>
    <w:rsid w:val="00CB3C31"/>
    <w:rsid w:val="00CB7CFD"/>
    <w:rsid w:val="00CC07A4"/>
    <w:rsid w:val="00CC29EB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71A0"/>
    <w:rsid w:val="00DA1306"/>
    <w:rsid w:val="00DA1E1F"/>
    <w:rsid w:val="00DB3165"/>
    <w:rsid w:val="00DB4E94"/>
    <w:rsid w:val="00DC1831"/>
    <w:rsid w:val="00DD0681"/>
    <w:rsid w:val="00DE15F9"/>
    <w:rsid w:val="00DE1E4E"/>
    <w:rsid w:val="00DE29DF"/>
    <w:rsid w:val="00DE41A8"/>
    <w:rsid w:val="00DE4634"/>
    <w:rsid w:val="00DE657A"/>
    <w:rsid w:val="00DE675C"/>
    <w:rsid w:val="00DF06FC"/>
    <w:rsid w:val="00DF0C1A"/>
    <w:rsid w:val="00E02A65"/>
    <w:rsid w:val="00E032BD"/>
    <w:rsid w:val="00E04BAC"/>
    <w:rsid w:val="00E07708"/>
    <w:rsid w:val="00E212CB"/>
    <w:rsid w:val="00E23D91"/>
    <w:rsid w:val="00E24CF2"/>
    <w:rsid w:val="00E3627F"/>
    <w:rsid w:val="00E44862"/>
    <w:rsid w:val="00E55E3C"/>
    <w:rsid w:val="00E56537"/>
    <w:rsid w:val="00E6271F"/>
    <w:rsid w:val="00E63FD3"/>
    <w:rsid w:val="00E64163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C0978"/>
    <w:rsid w:val="00EC3C16"/>
    <w:rsid w:val="00ED222D"/>
    <w:rsid w:val="00ED2BCF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70E25"/>
    <w:rsid w:val="00F8518B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55A2-74DA-4DA1-9709-D88A9C5B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36</cp:revision>
  <cp:lastPrinted>2024-02-24T11:11:00Z</cp:lastPrinted>
  <dcterms:created xsi:type="dcterms:W3CDTF">2024-02-12T19:10:00Z</dcterms:created>
  <dcterms:modified xsi:type="dcterms:W3CDTF">2024-03-02T10:11:00Z</dcterms:modified>
</cp:coreProperties>
</file>