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D8" w:rsidRDefault="00ED2AD8" w:rsidP="00ED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D2AD8" w:rsidRDefault="00ED2AD8" w:rsidP="00ED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решения Совета  депутатов Токарёвского муниципального округа Тамбовской области «Об утверждении отчета об исполнении   бюджета   Токарёвского муниципального округа Тамбовской области за 2024год»</w:t>
      </w:r>
    </w:p>
    <w:p w:rsidR="00ED2AD8" w:rsidRDefault="00ED2AD8" w:rsidP="00ED2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D8" w:rsidRDefault="00ED2AD8" w:rsidP="00E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 на проект решения «Об утверждении отчета об исполнении  бюджета Токарёвского муниципального округа Тамбовской области за 2024год»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подготовлено  в соответствии с Бюджетным кодексом Российской Федерации (далее БК РФ), на основании ст.8 Положения о Контрольно-ревизионной комиссии Токарёвского муниципального округа Тамбовской области утвержденного решением  Совета  депутатов Токарёвского муниципального округа Тамбовской области от 19.09.2023 № 16 (далее Положение)  и п. 3.2 Плана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Токарёвского муниципального округа  Тамбовской области  на 2025 год (далее Контрольно-ревизионная комиссия)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2AD8" w:rsidRDefault="00ED2AD8" w:rsidP="00E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подготовки заключения  представлены следующие документы и материалы:</w:t>
      </w:r>
    </w:p>
    <w:p w:rsidR="00ED2AD8" w:rsidRDefault="00ED2AD8" w:rsidP="00E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проект решения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отчета об исполнении  бюджета Токарёвского муниципального округа Тамбовской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2024год»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установленными п.13 статьи 44 Положения о бюджетном  процессе Токарёвского муниципального округа Тамбовской области утвержденного решением Совета депутатов Токарёвского муниципального округа Тамбовской области от 21.09.2023 № 26  (далее Положение о бюджетном процессе);</w:t>
      </w:r>
    </w:p>
    <w:p w:rsidR="00ED2AD8" w:rsidRDefault="00ED2AD8" w:rsidP="00ED2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заключение подготовлено с учетом результатов внешней проверки годового отчета об исполнении бюджета Токарёвского муниципального округа  за 2024 год проведенной Контрольно-ревизионной комиссией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2AD8" w:rsidRDefault="00ED2AD8" w:rsidP="00ED2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9 статьи 44 Положения  о бюджетном процессе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  решения «Об утверждении отчета об исполнении  бюджета Токарёвского муниципального округа Тамбовской области за 2024 год » внесен Главо</w:t>
      </w:r>
      <w:r w:rsidR="008631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Токарёвского муниципального округа  Тамбовской области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12.03.2025 года.</w:t>
      </w:r>
    </w:p>
    <w:p w:rsidR="00ED2AD8" w:rsidRDefault="00ED2AD8" w:rsidP="00ED2AD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264.5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БК РФ и  статьи 44</w:t>
      </w:r>
      <w:r>
        <w:rPr>
          <w:rFonts w:ascii="yandex-sans" w:eastAsia="Times New Roman" w:hAnsi="yandex-sans" w:cs="Times New Roman"/>
          <w:sz w:val="28"/>
          <w:szCs w:val="28"/>
        </w:rPr>
        <w:t xml:space="preserve"> Положения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бюджетном процессе </w:t>
      </w:r>
      <w:r>
        <w:rPr>
          <w:rFonts w:ascii="yandex-sans" w:eastAsia="Times New Roman" w:hAnsi="yandex-sans" w:cs="Times New Roman"/>
          <w:sz w:val="28"/>
          <w:szCs w:val="28"/>
        </w:rPr>
        <w:t xml:space="preserve"> в Контрольно-ревизионную комиссию  представлены:</w:t>
      </w:r>
    </w:p>
    <w:p w:rsidR="00ED2AD8" w:rsidRDefault="00ED2AD8" w:rsidP="00ED2AD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годовой отчет об исполнении  бюджета  муниципального округа за 2024 год;</w:t>
      </w:r>
    </w:p>
    <w:p w:rsidR="00ED2AD8" w:rsidRDefault="00ED2AD8" w:rsidP="00ED2AD8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итогах социально-экономического развития муниципального округа;</w:t>
      </w:r>
    </w:p>
    <w:p w:rsidR="00ED2AD8" w:rsidRDefault="00ED2AD8" w:rsidP="00ED2A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баланс  исполнения бюджета муниципального округа  за 2024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D2AD8" w:rsidRDefault="00ED2AD8" w:rsidP="00ED2A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отчет о финансовых результатах деятельности  бюджета муниципального округа  за 2024 год;</w:t>
      </w:r>
    </w:p>
    <w:p w:rsidR="00ED2AD8" w:rsidRDefault="00ED2AD8" w:rsidP="00ED2A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отчет о движении денежных средств  бюджета 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округа за 2024 год;</w:t>
      </w:r>
    </w:p>
    <w:p w:rsidR="00ED2AD8" w:rsidRDefault="00ED2AD8" w:rsidP="00ED2AD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пояснительная записка , содержащая анализ исполнения  бюджета и бюджетной отчетности;</w:t>
      </w:r>
    </w:p>
    <w:p w:rsidR="00ED2AD8" w:rsidRDefault="00ED2AD8" w:rsidP="00ED2AD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отчет об использовании ассигнований резервного фонда администрации Токарёвского  муниципального округа  Тамбовской области за 2024 год;</w:t>
      </w:r>
    </w:p>
    <w:p w:rsidR="00ED2AD8" w:rsidRDefault="00ED2AD8" w:rsidP="00ED2AD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 отчет о предоставлении и погашении бюджетных кредитов;</w:t>
      </w:r>
    </w:p>
    <w:p w:rsidR="00ED2AD8" w:rsidRDefault="00ED2AD8" w:rsidP="00ED2AD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отчет о состоянии муниципального внутреннего долга Токарёвского муниципального округа  на начало и конец отчетного финансового года;</w:t>
      </w:r>
    </w:p>
    <w:p w:rsidR="00ED2AD8" w:rsidRDefault="00ED2AD8" w:rsidP="00ED2AD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информация об использовании бюджетных ассигнований Дорожного фонда   Токаревского муниципального округа Тамбовской области   за отчетный финансовый год;</w:t>
      </w:r>
    </w:p>
    <w:p w:rsidR="00ED2AD8" w:rsidRDefault="00ED2AD8" w:rsidP="00ED2AD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информация об  осуществлении бюджетных инвестиций в объекты капитального строительства в соответствии с  адресной инвестиционной программой  за отчетный  финансовый год с разбивкой по объектам капитального строительства;</w:t>
      </w:r>
    </w:p>
    <w:p w:rsidR="00ED2AD8" w:rsidRDefault="00ED2AD8" w:rsidP="00ED2AD8">
      <w:pPr>
        <w:widowControl w:val="0"/>
        <w:autoSpaceDE w:val="0"/>
        <w:autoSpaceDN w:val="0"/>
        <w:adjustRightInd w:val="0"/>
        <w:spacing w:after="12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12) сводный годовой доклад о ходе реализации и об оценке эффективности муниципальных программ  Токарёвского муниципального округа  Тамбовской области за 2024 год.          </w:t>
      </w:r>
    </w:p>
    <w:p w:rsidR="00ED2AD8" w:rsidRDefault="00ED2AD8" w:rsidP="00ED2A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подготовлен в соответствии со статьей 264.6 БК РФ, статьей 44 Положения о бюджетном процессе и предусматривает утверждение отчета об исполнении  бюджета Токарёвского муниципального округа Тамбовской области за 2024 год с указанием общего объема доходов, расходов и дефицита бюджета.</w:t>
      </w:r>
    </w:p>
    <w:p w:rsidR="00ED2AD8" w:rsidRDefault="00ED2AD8" w:rsidP="00ED2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Отдельными приложениями к проекту решения представлены следующие  данные:</w:t>
      </w:r>
    </w:p>
    <w:p w:rsidR="00ED2AD8" w:rsidRDefault="00ED2AD8" w:rsidP="00ED2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-доходов бюджета муниципального округа по кодам классификации доходов бюджетов;</w:t>
      </w:r>
    </w:p>
    <w:p w:rsidR="00ED2AD8" w:rsidRDefault="00ED2AD8" w:rsidP="00ED2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-расходов бюджета муниципального округа по ведомственной структуре расходов бюджета муниципального округа;</w:t>
      </w:r>
    </w:p>
    <w:p w:rsidR="00ED2AD8" w:rsidRDefault="00ED2AD8" w:rsidP="00ED2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-источников финансирования дефицита бюджета муниципального округа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D2AD8" w:rsidRDefault="00ED2AD8" w:rsidP="00ED2AD8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-расходов бюджета по 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деятельности, группам и подгруппам видов расходов классификации расходов бюджета муниципального округа.</w:t>
      </w:r>
    </w:p>
    <w:p w:rsidR="00ED2AD8" w:rsidRDefault="00ED2AD8" w:rsidP="00E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Экспертиза проекта решения проведена Контрольно-ревизионной комиссией на предмет соответствия показателей доходов, расходов, дефицита бюджета  и источников его финансирования, отраженных  в проекте решения,  соответствующим показателям  отчета об исполнении   Токарёвского муниципального округа Тамбовской области  за 2024 год, представленного администрацией Токарёвского муниципального округа  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Контрольно-ревизионную комиссию, достоверность которых подтверждена результатами внешней проверки.</w:t>
      </w:r>
      <w:proofErr w:type="gramEnd"/>
    </w:p>
    <w:p w:rsidR="00ED2AD8" w:rsidRDefault="00ED2AD8" w:rsidP="00ED2AD8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бюджета осуществлялось в соответствии с  решением «О  бюджете Токарёвского муниципального округа  Тамбовской области на 2024 год и на плановый период 2025 и 2026 годов»  утвержденного решением Совета депутатов  Токарёвского муниципального округа № 110 от 13.12.2023 в редакции решения  </w:t>
      </w:r>
      <w:r>
        <w:rPr>
          <w:rFonts w:ascii="Times New Roman" w:hAnsi="Times New Roman" w:cs="Times New Roman"/>
          <w:sz w:val="27"/>
          <w:szCs w:val="27"/>
        </w:rPr>
        <w:t xml:space="preserve">от 24.12.2024 № 299. </w:t>
      </w:r>
    </w:p>
    <w:p w:rsidR="00ED2AD8" w:rsidRDefault="00ED2AD8" w:rsidP="00ED2AD8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исполнения бюджета за 2024 год  в бюджет  было внесено 7 изменений.</w:t>
      </w:r>
    </w:p>
    <w:p w:rsidR="00ED2AD8" w:rsidRDefault="00ED2AD8" w:rsidP="00ED2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доходной части бюджета обусловлены уточнением спрогнозированных поступлений налоговых и неналоговых доходов в бюджет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уточнением объемов безвозмездных поступлений.</w:t>
      </w:r>
    </w:p>
    <w:p w:rsidR="00ED2AD8" w:rsidRDefault="00ED2AD8" w:rsidP="00ED2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расходной части бюджета обусловлены обеспечением в полном объеме расходов  первоочередного и социально-значимого характера, с учетом сложившейся экономической ситуации в муниципальном округе.</w:t>
      </w:r>
    </w:p>
    <w:p w:rsidR="00ED2AD8" w:rsidRDefault="00ED2AD8" w:rsidP="00E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Показатели, содержащиеся в приложениях к проекту решения,  предлагаемые к утверждению, соответствуют показателям годового отчета об исполнении  бюджета Токарёвского муниципального округа Тамбовской области   за 2024 год.</w:t>
      </w:r>
    </w:p>
    <w:p w:rsidR="00ED2AD8" w:rsidRDefault="00ED2AD8" w:rsidP="00ED2AD8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внесенных изменений в бюджетные назначения, доходная часть бюджета  как главного администратора бюджетных средств на  2024 год   утверждена в сумме 698 486,8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фактически поступило доходов  726 837,9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рублей,  % исполнения составил  104,1.</w:t>
      </w:r>
    </w:p>
    <w:p w:rsidR="00ED2AD8" w:rsidRDefault="00ED2AD8" w:rsidP="00ED2AD8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Доходная часть бюджета за 2024 год по собственным доходам исполнена на 107,8 % (план 378 402,4 тыс. рублей, исполнено 408 031,3 тыс. рублей).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безвозмездным поступлениям бюджетные назначения исполнены на 99,6 % (план   320 084,4тыс. рублей, исполнено 318 806,6 тыс. рублей). </w:t>
      </w:r>
    </w:p>
    <w:p w:rsidR="00ED2AD8" w:rsidRDefault="00ED2AD8" w:rsidP="00ED2A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56,1 % в доходной части бюджета занимают собственные доходы, на безвозмездные поступления приходится  43,9 %  от общей суммы поступивших доходов.</w:t>
      </w:r>
    </w:p>
    <w:p w:rsidR="00ED2AD8" w:rsidRDefault="00ED2AD8" w:rsidP="00ED2AD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 исполнение доходной части бюджета  2024 года с аналогичным периодом 2023 года,  поступления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доходов возросли  на  </w:t>
      </w:r>
      <w:r>
        <w:rPr>
          <w:rFonts w:ascii="Times New Roman" w:hAnsi="Times New Roman" w:cs="Times New Roman"/>
          <w:sz w:val="28"/>
          <w:szCs w:val="28"/>
          <w:lang w:eastAsia="en-US"/>
        </w:rPr>
        <w:t>92 071,1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на  14,5%. </w:t>
      </w:r>
    </w:p>
    <w:p w:rsidR="00ED2AD8" w:rsidRDefault="00ED2AD8" w:rsidP="00ED2AD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Расходная часть бюджета исполнена на 96,3 %,  к уточненному плану года  730 486,1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расходы  произведены в сумме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703 277,4 тыс. рублей. </w:t>
      </w:r>
    </w:p>
    <w:p w:rsidR="00ED2AD8" w:rsidRDefault="00ED2AD8" w:rsidP="00ED2AD8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произведенные расходы 2024 года с аналогичным периодом 2023 года отмечается рост расходов на 62 593,4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или на 9,8 %.</w:t>
      </w:r>
    </w:p>
    <w:p w:rsidR="00ED2AD8" w:rsidRDefault="00ED2AD8" w:rsidP="00ED2AD8">
      <w:pPr>
        <w:pStyle w:val="2"/>
        <w:ind w:firstLine="851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  бюджета в 2024 году  </w:t>
      </w:r>
      <w:proofErr w:type="gramStart"/>
      <w:r>
        <w:rPr>
          <w:szCs w:val="28"/>
        </w:rPr>
        <w:t>исполнен</w:t>
      </w:r>
      <w:proofErr w:type="gramEnd"/>
      <w:r>
        <w:rPr>
          <w:szCs w:val="28"/>
        </w:rPr>
        <w:t xml:space="preserve"> в программном формате в разрезе   21 муниципальных программ, с детализацией на подпрограммы и основные мероприятия.</w:t>
      </w:r>
    </w:p>
    <w:p w:rsidR="00ED2AD8" w:rsidRDefault="00ED2AD8" w:rsidP="00ED2AD8">
      <w:pPr>
        <w:pStyle w:val="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 в программном формате  за  2024 год составили  99,2% или 697 508,1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от общей суммы  расходов (703 277,4 тыс.рублей).</w:t>
      </w:r>
    </w:p>
    <w:p w:rsidR="00ED2AD8" w:rsidRDefault="00ED2AD8" w:rsidP="00E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Исполнение  бюджета осуществлялось в разрезе 4 главных распорядителей бюджетных средств, по 8 разделам    бюджетной классификации расходов. </w:t>
      </w:r>
    </w:p>
    <w:p w:rsidR="00ED2AD8" w:rsidRDefault="00ED2AD8" w:rsidP="00ED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Бюджет  Токарёвского муниципального округа Тамбовской области по состоянию на 01.01.2025 года исполнен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 23 560,5 тыс. рублей.</w:t>
      </w:r>
    </w:p>
    <w:p w:rsidR="00ED2AD8" w:rsidRDefault="00ED2AD8" w:rsidP="00ED2A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2AD8" w:rsidRDefault="00ED2AD8" w:rsidP="00ED2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Выводы.</w:t>
      </w:r>
    </w:p>
    <w:p w:rsidR="00ED2AD8" w:rsidRDefault="00ED2AD8" w:rsidP="00ED2AD8">
      <w:pPr>
        <w:pStyle w:val="msonormalbullet2gif"/>
        <w:numPr>
          <w:ilvl w:val="0"/>
          <w:numId w:val="2"/>
        </w:numPr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и перечень приложений к нему соответствует требованиям ст. 264.4 БК РК и статьи 44 Положения о бюджетном процессе  утвержденного решением  Совета  депутатов   Токарёвского муниципального округа  Тамбовской области  от 21.09.2023 № 26.</w:t>
      </w:r>
    </w:p>
    <w:p w:rsidR="00ED2AD8" w:rsidRDefault="00ED2AD8" w:rsidP="00ED2AD8">
      <w:pPr>
        <w:pStyle w:val="msonormalbullet2gif"/>
        <w:numPr>
          <w:ilvl w:val="0"/>
          <w:numId w:val="2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представлен одновременно с отчетом об исполнении бюджета Токарёвского муниципального округа Тамбовской области за 2024 год, в соответствии  со статьей 264.5 Бюджетного кодекса  Российской Федерации  и статьей  44 Положения о бюджетном процессе.  </w:t>
      </w:r>
    </w:p>
    <w:p w:rsidR="00ED2AD8" w:rsidRDefault="00ED2AD8" w:rsidP="00ED2AD8">
      <w:pPr>
        <w:pStyle w:val="msonormalbullet2gif"/>
        <w:numPr>
          <w:ilvl w:val="0"/>
          <w:numId w:val="2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Осуществленная Контрольно-ревизионной комиссией   экспертиза проекта решения об утверждении  отчета об исполнении бюджета Токарёвского муниципального округа Тамбовской области за 2024 год, свидетельствует о соответствии основных показателей проекта решения   показателям  отчета об исполнении   бюджета за 2024 год, достоверность которых подтверждена результатами внешней проверки годового отчета.</w:t>
      </w:r>
    </w:p>
    <w:p w:rsidR="00ED2AD8" w:rsidRDefault="00ED2AD8" w:rsidP="00ED2AD8">
      <w:pPr>
        <w:pStyle w:val="msonormalbullet2gif"/>
        <w:numPr>
          <w:ilvl w:val="0"/>
          <w:numId w:val="2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муниципального округа в 2024 году осуществлялось в соответствии с действующим законодательством.</w:t>
      </w:r>
    </w:p>
    <w:p w:rsidR="00ED2AD8" w:rsidRDefault="00ED2AD8" w:rsidP="00ED2AD8">
      <w:pPr>
        <w:pStyle w:val="msonormalbullet2gif"/>
        <w:numPr>
          <w:ilvl w:val="0"/>
          <w:numId w:val="2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Контрольно-ревизионная комиссия Токарёвского муниципального округа Тамбовской области  рекомендует Совету депутатов Токарёвского муниципального округа Тамбовской области утвердить  отчет об исполнении   бюджета   Токарёвского муниципального округа Тамбовской области за 2024 год.</w:t>
      </w:r>
    </w:p>
    <w:p w:rsidR="00ED2AD8" w:rsidRDefault="00ED2AD8" w:rsidP="00ED2AD8">
      <w:pPr>
        <w:pStyle w:val="msonormalbullet2gif"/>
        <w:contextualSpacing/>
        <w:jc w:val="both"/>
        <w:rPr>
          <w:b/>
        </w:rPr>
      </w:pPr>
    </w:p>
    <w:p w:rsidR="00ED2AD8" w:rsidRDefault="00ED2AD8" w:rsidP="00ED2AD8">
      <w:pPr>
        <w:pStyle w:val="msonormalbullet2gif"/>
        <w:contextualSpacing/>
        <w:jc w:val="both"/>
        <w:rPr>
          <w:b/>
          <w:color w:val="FF0000"/>
        </w:rPr>
      </w:pPr>
    </w:p>
    <w:p w:rsidR="00ED2AD8" w:rsidRDefault="00ED2AD8" w:rsidP="00ED2AD8">
      <w:pPr>
        <w:pStyle w:val="msonormalbullet2gif"/>
        <w:contextualSpacing/>
        <w:jc w:val="both"/>
        <w:rPr>
          <w:b/>
          <w:color w:val="FF0000"/>
        </w:rPr>
      </w:pPr>
    </w:p>
    <w:p w:rsidR="00ED2AD8" w:rsidRDefault="00ED2AD8" w:rsidP="00ED2AD8">
      <w:pPr>
        <w:pStyle w:val="msonormalbullet2gif"/>
        <w:contextualSpacing/>
        <w:jc w:val="both"/>
        <w:rPr>
          <w:b/>
          <w:color w:val="FF0000"/>
        </w:rPr>
      </w:pPr>
    </w:p>
    <w:p w:rsidR="00ED2AD8" w:rsidRDefault="00ED2AD8" w:rsidP="00ED2AD8">
      <w:pPr>
        <w:pStyle w:val="msonormalbullet2gif"/>
        <w:contextualSpacing/>
        <w:jc w:val="both"/>
        <w:rPr>
          <w:b/>
          <w:color w:val="FF0000"/>
        </w:rPr>
      </w:pPr>
    </w:p>
    <w:p w:rsidR="00ED2AD8" w:rsidRDefault="00ED2AD8" w:rsidP="00ED2AD8">
      <w:pPr>
        <w:pStyle w:val="msonormalbullet2gif"/>
        <w:contextualSpacing/>
        <w:jc w:val="both"/>
        <w:rPr>
          <w:b/>
          <w:color w:val="FF0000"/>
        </w:rPr>
      </w:pPr>
    </w:p>
    <w:p w:rsidR="00ED2AD8" w:rsidRDefault="00ED2AD8" w:rsidP="00ED2AD8">
      <w:pPr>
        <w:pStyle w:val="msonormalbullet2gif"/>
        <w:contextualSpacing/>
        <w:jc w:val="both"/>
        <w:rPr>
          <w:b/>
          <w:color w:val="FF0000"/>
        </w:rPr>
      </w:pPr>
    </w:p>
    <w:p w:rsidR="00ED2AD8" w:rsidRDefault="00ED2AD8" w:rsidP="00ED2AD8">
      <w:pPr>
        <w:pStyle w:val="msonormalbullet2gif"/>
        <w:contextualSpacing/>
        <w:jc w:val="both"/>
        <w:rPr>
          <w:b/>
          <w:color w:val="FF0000"/>
        </w:rPr>
      </w:pPr>
    </w:p>
    <w:p w:rsidR="00ED2AD8" w:rsidRDefault="00ED2AD8" w:rsidP="00ED2AD8">
      <w:pPr>
        <w:pStyle w:val="msonormalbullet2gif"/>
        <w:contextualSpacing/>
        <w:jc w:val="both"/>
        <w:rPr>
          <w:b/>
        </w:rPr>
      </w:pPr>
    </w:p>
    <w:p w:rsidR="00ED2AD8" w:rsidRDefault="00ED2AD8" w:rsidP="00ED2AD8">
      <w:pPr>
        <w:pStyle w:val="msonormalbullet2gif"/>
        <w:contextualSpacing/>
        <w:jc w:val="both"/>
        <w:rPr>
          <w:b/>
        </w:rPr>
      </w:pPr>
    </w:p>
    <w:p w:rsidR="00ED2AD8" w:rsidRDefault="00ED2AD8" w:rsidP="00ED2AD8">
      <w:pPr>
        <w:pStyle w:val="msonormalbullet2gif"/>
        <w:contextualSpacing/>
        <w:jc w:val="both"/>
        <w:rPr>
          <w:b/>
        </w:rPr>
      </w:pPr>
    </w:p>
    <w:p w:rsidR="00ED2AD8" w:rsidRDefault="00ED2AD8" w:rsidP="00ED2AD8">
      <w:pPr>
        <w:pStyle w:val="msonormalbullet2gif"/>
        <w:contextualSpacing/>
        <w:jc w:val="both"/>
        <w:rPr>
          <w:b/>
        </w:rPr>
      </w:pPr>
    </w:p>
    <w:p w:rsidR="00ED2AD8" w:rsidRDefault="00ED2AD8" w:rsidP="00ED2AD8">
      <w:pPr>
        <w:pStyle w:val="msonormalbullet2gif"/>
        <w:contextualSpacing/>
        <w:jc w:val="both"/>
        <w:rPr>
          <w:b/>
        </w:rPr>
      </w:pPr>
      <w:r>
        <w:rPr>
          <w:b/>
        </w:rPr>
        <w:t>Заключение подготовлено</w:t>
      </w:r>
    </w:p>
    <w:p w:rsidR="00ED2AD8" w:rsidRDefault="00ED2AD8" w:rsidP="00ED2AD8">
      <w:pPr>
        <w:pStyle w:val="msonormalbullet2gif"/>
        <w:contextualSpacing/>
        <w:jc w:val="both"/>
        <w:rPr>
          <w:b/>
        </w:rPr>
      </w:pPr>
      <w:r>
        <w:rPr>
          <w:b/>
        </w:rPr>
        <w:t>председателем Контрольно-ревизионной комиссии</w:t>
      </w:r>
    </w:p>
    <w:p w:rsidR="00ED2AD8" w:rsidRDefault="00ED2AD8" w:rsidP="00ED2AD8">
      <w:pPr>
        <w:pStyle w:val="msonormalbullet2gif"/>
        <w:contextualSpacing/>
        <w:jc w:val="both"/>
        <w:rPr>
          <w:b/>
        </w:rPr>
      </w:pPr>
      <w:r>
        <w:rPr>
          <w:b/>
        </w:rPr>
        <w:t>Токарёвского муниципального округа</w:t>
      </w:r>
    </w:p>
    <w:p w:rsidR="00ED2AD8" w:rsidRDefault="00ED2AD8" w:rsidP="00ED2AD8">
      <w:pPr>
        <w:pStyle w:val="msonormalbullet2gif"/>
        <w:contextualSpacing/>
        <w:jc w:val="both"/>
        <w:rPr>
          <w:color w:val="FF0000"/>
        </w:rPr>
      </w:pPr>
      <w:r>
        <w:rPr>
          <w:b/>
        </w:rPr>
        <w:t xml:space="preserve"> Н.В.Акулининой 14.04.2025 г.</w:t>
      </w:r>
      <w:r>
        <w:t xml:space="preserve">  </w:t>
      </w:r>
    </w:p>
    <w:p w:rsidR="00AB569C" w:rsidRDefault="00AB569C"/>
    <w:sectPr w:rsidR="00AB569C" w:rsidSect="0015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8DC"/>
    <w:multiLevelType w:val="hybridMultilevel"/>
    <w:tmpl w:val="99A4C04A"/>
    <w:lvl w:ilvl="0" w:tplc="C62E8FB4">
      <w:start w:val="2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831DE"/>
    <w:multiLevelType w:val="hybridMultilevel"/>
    <w:tmpl w:val="0E761F6A"/>
    <w:lvl w:ilvl="0" w:tplc="6F2A102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AD8"/>
    <w:rsid w:val="00157EA4"/>
    <w:rsid w:val="001A7BD2"/>
    <w:rsid w:val="00863172"/>
    <w:rsid w:val="00AB569C"/>
    <w:rsid w:val="00D2293F"/>
    <w:rsid w:val="00E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D2AD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D2AD8"/>
  </w:style>
  <w:style w:type="paragraph" w:styleId="2">
    <w:name w:val="Body Text Indent 2"/>
    <w:basedOn w:val="a"/>
    <w:link w:val="21"/>
    <w:semiHidden/>
    <w:unhideWhenUsed/>
    <w:rsid w:val="00ED2AD8"/>
    <w:pPr>
      <w:spacing w:after="0" w:line="240" w:lineRule="auto"/>
      <w:ind w:hanging="4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2AD8"/>
  </w:style>
  <w:style w:type="paragraph" w:styleId="3">
    <w:name w:val="Body Text Indent 3"/>
    <w:basedOn w:val="a"/>
    <w:link w:val="31"/>
    <w:semiHidden/>
    <w:unhideWhenUsed/>
    <w:rsid w:val="00ED2AD8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2AD8"/>
    <w:rPr>
      <w:sz w:val="16"/>
      <w:szCs w:val="16"/>
    </w:rPr>
  </w:style>
  <w:style w:type="paragraph" w:styleId="a5">
    <w:name w:val="List Paragraph"/>
    <w:basedOn w:val="a"/>
    <w:uiPriority w:val="34"/>
    <w:qFormat/>
    <w:rsid w:val="00ED2AD8"/>
    <w:pPr>
      <w:ind w:left="720"/>
      <w:contextualSpacing/>
    </w:pPr>
  </w:style>
  <w:style w:type="paragraph" w:customStyle="1" w:styleId="ConsPlusNormal">
    <w:name w:val="ConsPlusNormal"/>
    <w:rsid w:val="00ED2AD8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ED2AD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ED2AD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D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2025-04-24T08:29:00Z</dcterms:created>
  <dcterms:modified xsi:type="dcterms:W3CDTF">2025-04-25T05:33:00Z</dcterms:modified>
</cp:coreProperties>
</file>