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</w:rPr>
        <w:t>Администрация Токарёвского района</w:t>
      </w:r>
    </w:p>
    <w:p>
      <w:pPr>
        <w:pStyle w:val="Normal"/>
        <w:jc w:val="center"/>
        <w:rPr/>
      </w:pPr>
      <w:r>
        <w:rPr>
          <w:sz w:val="28"/>
        </w:rPr>
        <w:t>Тамбовской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3828" w:leader="none"/>
        </w:tabs>
        <w:jc w:val="center"/>
        <w:rPr/>
      </w:pP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00.00.0000</w:t>
      </w:r>
      <w:r>
        <w:rPr>
          <w:sz w:val="28"/>
          <w:szCs w:val="28"/>
        </w:rPr>
        <w:tab/>
        <w:tab/>
        <w:tab/>
        <w:tab/>
        <w:t xml:space="preserve">    р.п. Токарёвка</w:t>
        <w:tab/>
        <w:tab/>
        <w:tab/>
        <w:tab/>
        <w:tab/>
        <w:t xml:space="preserve">   № 000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lineRule="auto" w:line="23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 реструктуризации денежных обязательств (задолженности по денежным обязательствам) перед Токарёвским районом Тамбовской области.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В соответствии со статьей 93.8 Бюджетного кодекса Российской Федерации, руководствуясь статьей 44 решения Токарёвского районного Совета народных депутатов Тамбовской области от 26.12.2013г № 31 «Об утверждении Положения о бюджетном устройстве и бюджетном процессе в Токарёвском районе», Уставом Токарёвского района Тамбовской области, администрация района постановляет: </w:t>
      </w:r>
    </w:p>
    <w:p>
      <w:pPr>
        <w:pStyle w:val="ConsPlusNormal"/>
        <w:spacing w:lineRule="auto" w:line="235"/>
        <w:jc w:val="both"/>
        <w:rPr/>
      </w:pPr>
      <w:r>
        <w:rPr>
          <w:sz w:val="28"/>
        </w:rPr>
        <w:t xml:space="preserve">   </w:t>
      </w:r>
      <w:r>
        <w:rPr>
          <w:rFonts w:cs="Times New Roman" w:ascii="Times New Roman" w:hAnsi="Times New Roman"/>
          <w:sz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Утвердить Правила реструктуризации денежных обязательств (задолженности по денежным обязательствам) перед Токарёвским районом Тамбовской области согласно приложению.</w:t>
      </w:r>
    </w:p>
    <w:p>
      <w:pPr>
        <w:pStyle w:val="Textbody"/>
        <w:ind w:right="-98" w:firstLine="709"/>
        <w:jc w:val="both"/>
        <w:rPr/>
      </w:pPr>
      <w:r>
        <w:rPr>
          <w:szCs w:val="28"/>
        </w:rPr>
        <w:t>2. Опубликовать настоящее постановление в общественно-политической газете Токарёвского района «Маяк» и разместить в сетевом издании «РИА «ТОП68».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3. </w:t>
        <w:tab/>
        <w:t xml:space="preserve">Контроль за исполнением настоящего постановления возложить на заместителя главы администрации района, начальника финансового отдела администрации района Л.А. Родионову.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/>
      </w:pPr>
      <w:r>
        <w:rPr>
          <w:sz w:val="28"/>
          <w:szCs w:val="28"/>
        </w:rPr>
        <w:t>Глава района</w:t>
        <w:tab/>
        <w:tab/>
        <w:tab/>
        <w:tab/>
        <w:t xml:space="preserve">                                       В. Н. Айдаров</w:t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clear" w:pos="708"/>
          <w:tab w:val="left" w:pos="5245" w:leader="none"/>
          <w:tab w:val="left" w:pos="6135" w:leader="none"/>
          <w:tab w:val="center" w:pos="7229" w:leader="none"/>
        </w:tabs>
        <w:spacing w:lineRule="auto" w:line="235"/>
        <w:ind w:left="48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ConsPlusNormal"/>
        <w:tabs>
          <w:tab w:val="clear" w:pos="708"/>
          <w:tab w:val="left" w:pos="5245" w:leader="none"/>
          <w:tab w:val="left" w:pos="6135" w:leader="none"/>
          <w:tab w:val="center" w:pos="7229" w:leader="none"/>
        </w:tabs>
        <w:spacing w:lineRule="auto" w:line="235"/>
        <w:ind w:left="48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ab/>
        <w:t>ПРИЛОЖЕНИЕ</w:t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>
          <w:rFonts w:ascii="Times New Roman" w:hAnsi="Times New Roman" w:cs="Times New Roman"/>
          <w:bCs/>
          <w:sz w:val="28"/>
          <w:szCs w:val="36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cs="Times New Roman" w:ascii="Times New Roman" w:hAnsi="Times New Roman"/>
          <w:bCs/>
          <w:sz w:val="28"/>
          <w:szCs w:val="36"/>
        </w:rPr>
        <w:t>района</w:t>
      </w:r>
    </w:p>
    <w:p>
      <w:pPr>
        <w:pStyle w:val="ConsPlusNormal"/>
        <w:tabs>
          <w:tab w:val="clear" w:pos="708"/>
          <w:tab w:val="left" w:pos="5245" w:leader="none"/>
        </w:tabs>
        <w:spacing w:lineRule="auto" w:line="235"/>
        <w:ind w:left="4820" w:hanging="0"/>
        <w:jc w:val="center"/>
        <w:rPr/>
      </w:pPr>
      <w:r>
        <w:rPr>
          <w:rFonts w:cs="Times New Roman" w:ascii="Times New Roman" w:hAnsi="Times New Roman"/>
          <w:bCs/>
          <w:sz w:val="28"/>
          <w:szCs w:val="36"/>
        </w:rPr>
        <w:t xml:space="preserve">от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36"/>
          <w:lang w:val="ru-RU" w:eastAsia="ru-RU" w:bidi="ar-SA"/>
        </w:rPr>
        <w:t>00.00.0000</w:t>
      </w:r>
      <w:r>
        <w:rPr>
          <w:rFonts w:cs="Times New Roman" w:ascii="Times New Roman" w:hAnsi="Times New Roman"/>
          <w:bCs/>
          <w:sz w:val="28"/>
          <w:szCs w:val="36"/>
        </w:rPr>
        <w:t xml:space="preserve"> № 000</w:t>
      </w:r>
    </w:p>
    <w:p>
      <w:pPr>
        <w:pStyle w:val="ConsPlusNormal"/>
        <w:spacing w:lineRule="auto" w:line="2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ПРАВИЛА </w:t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реструктуризации денежных обязательств (задолженности </w:t>
      </w:r>
    </w:p>
    <w:p>
      <w:pPr>
        <w:pStyle w:val="ConsPlusNormal"/>
        <w:spacing w:lineRule="auto" w:line="235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денежным обязательствам) перед Токарёвским районом Тамбовской области</w:t>
      </w:r>
    </w:p>
    <w:p>
      <w:pPr>
        <w:pStyle w:val="ConsPlusNormal"/>
        <w:spacing w:lineRule="auto" w:line="235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 xml:space="preserve">1. Настоящие Правила устанавливают основания, условия и порядок реструктуризации денежных обязательств (задолженности по денежным обязательствам) перед Токарёвским районом Тамбовской области (далее – реструктуризация задолженности), а также дополнительные условия реструктуризации задолженности, в том числе критерии, которым должен </w:t>
      </w:r>
      <w:r>
        <w:rPr>
          <w:spacing w:val="-4"/>
          <w:sz w:val="28"/>
          <w:szCs w:val="28"/>
        </w:rPr>
        <w:t>соответствовать должник, имеющий право на реструктуризацию задолженности</w:t>
      </w:r>
      <w:r>
        <w:rPr>
          <w:sz w:val="28"/>
          <w:szCs w:val="28"/>
        </w:rPr>
        <w:t xml:space="preserve"> (далее – должник).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2. Реструктуризации не подлежат денежные обязательства (задолженности по ним) перед Токарёвским районом Тамбовской области, установленные к взысканию на основании решения суда.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3. Для целей настоящих Правил под реструктуризацией задолженности понимается изменение условий исполнения денежного обязательства (погашения задолженности по нему), связанное с изменением сроков (предоставление отсрочки или рассрочки) исполнения денежного обязательства (погашения задолженности по нему) перед Токарёвским районом Тамбовской области, изменение величины процентов за пользование денежными средствами и (или) иных платежей.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pacing w:val="-6"/>
          <w:sz w:val="28"/>
          <w:szCs w:val="28"/>
        </w:rPr>
        <w:t>4. Реструктуризация задолженности проводится по денежным обязательствам</w:t>
      </w:r>
      <w:r>
        <w:rPr>
          <w:sz w:val="28"/>
          <w:szCs w:val="28"/>
        </w:rPr>
        <w:t xml:space="preserve"> перед Токарёвским районом Тамбовской области, возникшим в связи с предоставлением юридическим лицам бюджетного кредита из районного бюджета, предоставлением и (или) исполнением муниципальной гарантии Токарёвского района Тамбовской области.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5. Возможность, способы и основные условия реструктуризации задолженности устанавливаются решением Токарёвского районного Совета  народных депутатов Тамбовской области о районном бюджете на очередной финансовый год и плановый период.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6. Основанием реструктуризации задолженности является постановление а</w:t>
      </w:r>
      <w:r>
        <w:rPr>
          <w:spacing w:val="-4"/>
          <w:sz w:val="28"/>
          <w:szCs w:val="28"/>
        </w:rPr>
        <w:t>дминистрации Токарёвского района Тамбовской области о проведении</w:t>
      </w:r>
      <w:r>
        <w:rPr>
          <w:sz w:val="28"/>
          <w:szCs w:val="28"/>
        </w:rPr>
        <w:t xml:space="preserve"> реструктуризации задолженности.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Право на реструктуризацию задолженности имеет должник, соответствующий следующим критериям: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должник не находится в процессе ликвидации или реорганизации;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должника не введена процедура банкротства, деятельность должника не приостановлена в порядке, предусмотренном законодательством Российской Федерации;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возбуждено уголовное дело в отношении руководителя или главного бухгалтера должника по признакам преступления, предусмотренного статьей 285.1 Уголовного кодекса Российской Федерации.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Реструктуризация задолженности осуществляется при соблюдении следующих условий: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pacing w:val="-4"/>
          <w:sz w:val="28"/>
          <w:szCs w:val="28"/>
        </w:rPr>
        <w:t>а) представление финансовому отделу администрации Токарёвского района Тамбовской области</w:t>
      </w:r>
      <w:r>
        <w:rPr>
          <w:sz w:val="28"/>
          <w:szCs w:val="28"/>
        </w:rPr>
        <w:t xml:space="preserve"> (далее – финансовый отдел) соглашения к договору (договорам) банковского счета должника, предоставляющего кредитной организации согласие (заранее данный акцепт) на списание </w:t>
        <w:br/>
        <w:t>со счетов должника денежных средств в размере задолженности должника перед Токарёвским районом Тамбовской области в лице финансового отдела по соглашению о реструктуризации задолженности по требованию финансового отдела, в том числе к банковским счетам, открытым в период действия соглашения о реструктуризации задолженности;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б) ежеквартальное представление в финансовый отдел промежуточной</w:t>
      </w:r>
      <w:r>
        <w:rPr>
          <w:sz w:val="28"/>
          <w:szCs w:val="28"/>
        </w:rPr>
        <w:t xml:space="preserve"> бухгалтерской (финансовой) отчетности, заверенной подписью и печатью должника, годовой бухгалтерской (финансовой) отчетности с отметкой налогового органа об ее принятии.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bookmarkStart w:id="0" w:name="P40"/>
      <w:bookmarkEnd w:id="0"/>
      <w:r>
        <w:rPr>
          <w:spacing w:val="-4"/>
          <w:sz w:val="28"/>
          <w:szCs w:val="28"/>
        </w:rPr>
        <w:t>9. Для проведения реструктуризации задолженности должник представляет в администрацию Токарёвского района Тамбовской области (далее — администрация района) обращение,</w:t>
      </w:r>
      <w:r>
        <w:rPr>
          <w:sz w:val="28"/>
          <w:szCs w:val="28"/>
        </w:rPr>
        <w:t xml:space="preserve"> подписанное должником или уполномоченным должностным лицом должника, действующим от имени должника, в том числе по доверенности, включающего: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объем задолженности, который предполагается реструктуризировать, </w:t>
        <w:br/>
        <w:t>и способ проведения реструктуризации задолженности, обоснование необходимости проведения реструктуризации задолженности;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 об источниках и сроках погашения реструктуризируемой задолженности;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копию документа, подтверждающего полномочия лица, действующего от имени должника;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копии учредительных документов со всеми изменениями и дополнениями;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д) годовую бухгалтерскую (финансовую) отчетность по </w:t>
      </w:r>
      <w:hyperlink r:id="rId2">
        <w:r>
          <w:rPr>
            <w:rStyle w:val="ListLabel1"/>
            <w:sz w:val="28"/>
            <w:szCs w:val="28"/>
          </w:rPr>
          <w:t>формам</w:t>
        </w:r>
      </w:hyperlink>
      <w:r>
        <w:rPr>
          <w:sz w:val="28"/>
          <w:szCs w:val="28"/>
        </w:rPr>
        <w:t xml:space="preserve"> бухгалтерского баланса и отчета о финансовых результатах, утвержденных приложением № 1 к приказу Министерства финансов Российской Федерации </w:t>
        <w:br/>
        <w:t xml:space="preserve">от 2 июля 2010 года № 66н "О формах бухгалтерской отчетности организаций" (далее – приказ № 66н),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</w:t>
        <w:br/>
        <w:t xml:space="preserve">с учетом положений </w:t>
      </w:r>
      <w:hyperlink r:id="rId3">
        <w:r>
          <w:rPr>
            <w:rStyle w:val="ListLabel1"/>
            <w:sz w:val="28"/>
            <w:szCs w:val="28"/>
          </w:rPr>
          <w:t>раздела 5</w:t>
        </w:r>
      </w:hyperlink>
      <w:r>
        <w:rPr>
          <w:sz w:val="28"/>
          <w:szCs w:val="28"/>
        </w:rPr>
        <w:t xml:space="preserve"> приложения № 3 к приказу № 66н;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е) промежуточную бухгалтерскую (финансовую) отчетность по </w:t>
      </w:r>
      <w:hyperlink r:id="rId4">
        <w:r>
          <w:rPr>
            <w:rStyle w:val="ListLabel1"/>
            <w:sz w:val="28"/>
            <w:szCs w:val="28"/>
          </w:rPr>
          <w:t>формам</w:t>
        </w:r>
      </w:hyperlink>
      <w:r>
        <w:rPr>
          <w:sz w:val="28"/>
          <w:szCs w:val="28"/>
        </w:rPr>
        <w:t xml:space="preserve"> бухгалтерского баланса и отчета о финансовых результатах, утвержденных приложением № 1 к приказу № 66н, за последний отчетный период, а также информацию о дебиторской и кредиторской задолженности, оформленную </w:t>
        <w:br/>
        <w:t xml:space="preserve">с учетом положений </w:t>
      </w:r>
      <w:hyperlink r:id="rId5">
        <w:r>
          <w:rPr>
            <w:rStyle w:val="ListLabel1"/>
            <w:sz w:val="28"/>
            <w:szCs w:val="28"/>
          </w:rPr>
          <w:t>раздела 5</w:t>
        </w:r>
      </w:hyperlink>
      <w:r>
        <w:rPr>
          <w:sz w:val="28"/>
          <w:szCs w:val="28"/>
        </w:rPr>
        <w:t xml:space="preserve"> приложения № 3 к приказу № 66н;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>
          <w:sz w:val="28"/>
          <w:szCs w:val="28"/>
        </w:rPr>
        <w:t>ж) гарантийное письмо о том, что должник не находится в процессе реорганизации или ликвидации, в отношении него не введена процедура банкротства, деятельность должника не приостановлена в порядке, предусмотренном законодательством Российской Федерации;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 справку налогового органа о действующих расчетных (текущих) валютных и рублевых счетах должника (поручителя), открытых в кредитных организациях на последнюю отчетную дату;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справки кредитных организаций об оборотах по расчетным рублевым и валютным счетам за последние 12 месяцев, остатках денежных средств на них на дату, предшествующую дате подачи документов, наличии или отсутствии </w:t>
        <w:br/>
        <w:t>на каждом счете на дату представления справки картотеки неоплаченных расчетных документов;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 расчет стоимости чистых активов должника;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документы, характеризующие кредитную историю должника </w:t>
        <w:br/>
        <w:t>за последние 3 года на дату подачи документов в финансовый отдел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отсутствии.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Копии документов, предусмотренных подпунктом 9 настоящих Правил, должны быть заверены в установленном законодательством Российской Федерации порядке.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11. Непредставление сведений или представление недостоверных сведений является основанием для отказа в рассмотрении обращения </w:t>
        <w:br/>
        <w:t>на проведение реструктуризации задолженности, о чем финансовый отдел информирует должника в течение 10 рабочих дней со дня поступления обращения в финансовый отдел.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12. Финансовый отдел в течение 10 рабочих дней рассматривает документы, указанные в </w:t>
      </w:r>
      <w:hyperlink w:anchor="P40">
        <w:r>
          <w:rPr>
            <w:rStyle w:val="ListLabel1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8 настоящих Правил, на предмет их соответствия требованиям к комплектности и содержанию, установленным настоящими Правилами, и в случае наличия несоответствия возвращает документы должнику с указанием причины возврата почтовым отправлением.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соответствия документов финансовый отдел не позднее 10 рабочих дней готовит проект постановления администрации района  о проведении реструктуризации задолженности. 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14. В течение 10 рабочих дней после принятия постановления администрации района о проведении </w:t>
      </w:r>
      <w:r>
        <w:rPr>
          <w:spacing w:val="-4"/>
          <w:sz w:val="28"/>
          <w:szCs w:val="28"/>
        </w:rPr>
        <w:t>реструктуризации задолженности, между Токарёвским районом Тамбовской области</w:t>
      </w:r>
      <w:r>
        <w:rPr>
          <w:sz w:val="28"/>
          <w:szCs w:val="28"/>
        </w:rPr>
        <w:t xml:space="preserve"> и должником заключается соглашение о реструктуризации задолженности.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Соглашение о реструктуризации задолженности заключается </w:t>
        <w:br/>
        <w:t>в течение трех рабочих дней со дня вступления в силу постановления администрации района о реструктуризации задолженности и должно предусматривать: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 реструктуризации задолженности (отсрочка или рассрочка);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размер реструктуризированной задолженности;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погашения реструктуризируемой задолженности, а в случае предоставления рассрочки – график, предусматривающий осуществление платежей;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реструктуризированную задолженность;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условия проведения реструктуризации задолженности;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сторон;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санкции, применяемые к должнику в случае нарушения им условий соглашения;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должника о ежегодном представлении информации </w:t>
        <w:br/>
        <w:t>о выполнении условий реструктуризации задолженности до полного ее погашения.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случае неуплаты в сроки, установленные соглашением, суммы основного долга реструктуризированной задолженности и (или) начисленных процентов производится начисление пени в размере 1/300 ключевой ставки Центрального банка России, действующей на день наступления срока платежа, </w:t>
      </w:r>
      <w:r>
        <w:rPr>
          <w:spacing w:val="-4"/>
          <w:sz w:val="28"/>
          <w:szCs w:val="28"/>
        </w:rPr>
        <w:t>на сумму непогашенного основного долга реструктуризированной задолженности</w:t>
      </w:r>
      <w:r>
        <w:rPr>
          <w:sz w:val="28"/>
          <w:szCs w:val="28"/>
        </w:rPr>
        <w:t xml:space="preserve"> и (или) подлежащих уплате процентов за каждый день несвоевременной уплаты платежей.</w:t>
      </w:r>
    </w:p>
    <w:p>
      <w:pPr>
        <w:pStyle w:val="Normal"/>
        <w:widowControl w:val="false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>
      <w:pPr>
        <w:pStyle w:val="Normal"/>
        <w:widowControl w:val="false"/>
        <w:spacing w:before="0" w:after="0"/>
        <w:contextualSpacing/>
        <w:jc w:val="both"/>
        <w:rPr/>
      </w:pPr>
      <w:r>
        <w:rPr/>
      </w:r>
    </w:p>
    <w:sectPr>
      <w:headerReference w:type="default" r:id="rId6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40588780"/>
    </w:sdtPr>
    <w:sdtContent>
      <w:p>
        <w:pPr>
          <w:pStyle w:val="Style22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> PAGE </w:instrText>
        </w:r>
        <w:r>
          <w:rPr>
            <w:sz w:val="28"/>
          </w:rPr>
          <w:fldChar w:fldCharType="separate"/>
        </w:r>
        <w:r>
          <w:rPr>
            <w:sz w:val="28"/>
          </w:rPr>
          <w:t>0</w:t>
        </w:r>
        <w:r>
          <w:rPr>
            <w:sz w:val="28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55d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755db"/>
    <w:pPr>
      <w:keepNext w:val="true"/>
      <w:outlineLvl w:val="0"/>
    </w:pPr>
    <w:rPr>
      <w:sz w:val="28"/>
    </w:rPr>
  </w:style>
  <w:style w:type="paragraph" w:styleId="2">
    <w:name w:val="Heading 2"/>
    <w:basedOn w:val="Normal"/>
    <w:next w:val="Normal"/>
    <w:link w:val="20"/>
    <w:qFormat/>
    <w:rsid w:val="008755db"/>
    <w:pPr>
      <w:keepNext w:val="true"/>
      <w:outlineLvl w:val="1"/>
    </w:pPr>
    <w:rPr>
      <w:b/>
      <w:bCs/>
      <w:sz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8755db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755d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8755db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8755db"/>
    <w:rPr>
      <w:rFonts w:ascii="Cambria" w:hAnsi="Cambria" w:eastAsia="Times New Roman" w:cs="Times New Roman"/>
      <w:b/>
      <w:bCs/>
      <w:i/>
      <w:iCs/>
      <w:color w:val="4F81BD"/>
      <w:sz w:val="28"/>
      <w:szCs w:val="20"/>
      <w:lang w:eastAsia="ru-RU"/>
    </w:rPr>
  </w:style>
  <w:style w:type="character" w:styleId="Style11">
    <w:name w:val="Выделение"/>
    <w:qFormat/>
    <w:rsid w:val="008755db"/>
    <w:rPr>
      <w:i/>
      <w:iCs/>
    </w:rPr>
  </w:style>
  <w:style w:type="character" w:styleId="Style12">
    <w:name w:val="Интернет-ссылка"/>
    <w:basedOn w:val="DefaultParagraphFont"/>
    <w:uiPriority w:val="99"/>
    <w:unhideWhenUsed/>
    <w:rsid w:val="008755db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642fdb"/>
    <w:rPr>
      <w:rFonts w:ascii="Arial" w:hAnsi="Arial" w:eastAsia="Times New Roman" w:cs="Arial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c055f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c055f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8755d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8755d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paragraph" w:styleId="ConsPlusTitlePage" w:customStyle="1">
    <w:name w:val="ConsPlusTitlePage"/>
    <w:qFormat/>
    <w:rsid w:val="008755db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a434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642fdb"/>
    <w:pPr/>
    <w:rPr>
      <w:rFonts w:ascii="Arial" w:hAnsi="Arial" w:cs="Arial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9"/>
    <w:uiPriority w:val="99"/>
    <w:unhideWhenUsed/>
    <w:rsid w:val="00c055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b"/>
    <w:uiPriority w:val="99"/>
    <w:unhideWhenUsed/>
    <w:rsid w:val="00c055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 w:customStyle="1">
    <w:name w:val="Text body"/>
    <w:basedOn w:val="Normal"/>
    <w:qFormat/>
    <w:rsid w:val="008a4283"/>
    <w:pPr>
      <w:suppressAutoHyphens w:val="true"/>
      <w:textAlignment w:val="baseline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start w:w="108" w:type="dxa"/>
        <w:bottom w:w="0" w:type="dxa"/>
        <w:end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D76604E7D6D2CA24F455D22F09CECB79466708B7AF82930F5B24F6ABB310249E8C0AAEC2919406FD3EBCBCFDB18F75694545E3921f8X4I" TargetMode="External"/><Relationship Id="rId3" Type="http://schemas.openxmlformats.org/officeDocument/2006/relationships/hyperlink" Target="consultantplus://offline/ref=7D76604E7D6D2CA24F455D22F09CECB79466708B7AF82930F5B24F6ABB310249E8C0AAEE291A4F3984A4CA939D45E45499545C3C3D86391CfDX6I" TargetMode="External"/><Relationship Id="rId4" Type="http://schemas.openxmlformats.org/officeDocument/2006/relationships/hyperlink" Target="consultantplus://offline/ref=7D76604E7D6D2CA24F455D22F09CECB79466708B7AF82930F5B24F6ABB310249E8C0AAEC2919406FD3EBCBCFDB18F75694545E3921f8X4I" TargetMode="External"/><Relationship Id="rId5" Type="http://schemas.openxmlformats.org/officeDocument/2006/relationships/hyperlink" Target="consultantplus://offline/ref=7D76604E7D6D2CA24F455D22F09CECB79466708B7AF82930F5B24F6ABB310249E8C0AAEE291A4F3984A4CA939D45E45499545C3C3D86391CfDX6I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B0CCBAB-C22C-4ED8-8731-8E22FE00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LibreOffice/6.3.2.2$Windows_X86_64 LibreOffice_project/98b30e735bda24bc04ab42594c85f7fd8be07b9c</Application>
  <Pages>5</Pages>
  <Words>1126</Words>
  <Characters>8531</Characters>
  <CharactersWithSpaces>9693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2021-07-02T09:08:00Z</dcterms:created>
  <dc:creator>Неля Валентиновна Мусаева</dc:creator>
  <dc:description/>
  <dc:language>ru-RU</dc:language>
  <cp:lastModifiedBy/>
  <cp:lastPrinted>2021-01-20T07:38:00Z</cp:lastPrinted>
  <dcterms:modified xsi:type="dcterms:W3CDTF">2021-09-10T08:30:01Z</dcterms:modified>
  <cp:revision>7</cp:revision>
  <dc:subject/>
  <dc:title/>
</cp:coreProperties>
</file>