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86" w:rsidRDefault="00262886">
      <w:pPr>
        <w:pStyle w:val="Standard"/>
        <w:jc w:val="right"/>
        <w:rPr>
          <w:rFonts w:ascii="Times New Roman" w:hAnsi="Times New Roman" w:cs="Times New Roman"/>
          <w:b/>
          <w:sz w:val="27"/>
          <w:szCs w:val="27"/>
          <w:lang w:val="ru-RU"/>
        </w:rPr>
      </w:pPr>
      <w:bookmarkStart w:id="0" w:name="_GoBack"/>
      <w:bookmarkEnd w:id="0"/>
    </w:p>
    <w:p w:rsidR="00262886" w:rsidRDefault="005C5146">
      <w:pPr>
        <w:pStyle w:val="Standard"/>
        <w:jc w:val="center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Тамбовская область</w:t>
      </w:r>
    </w:p>
    <w:p w:rsidR="00262886" w:rsidRDefault="005C5146">
      <w:pPr>
        <w:pStyle w:val="Standard"/>
        <w:jc w:val="center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Совет депутатов Токарёвского муниципального округа</w:t>
      </w:r>
    </w:p>
    <w:p w:rsidR="00262886" w:rsidRDefault="005C5146">
      <w:pPr>
        <w:pStyle w:val="Standard"/>
        <w:jc w:val="center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(Первый созыв - заседание четырнадцатое)</w:t>
      </w:r>
    </w:p>
    <w:p w:rsidR="00262886" w:rsidRDefault="00262886">
      <w:pPr>
        <w:pStyle w:val="Standard"/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262886" w:rsidRDefault="005C5146">
      <w:pPr>
        <w:pStyle w:val="Standard"/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  <w:r>
        <w:rPr>
          <w:rFonts w:ascii="Times New Roman" w:hAnsi="Times New Roman" w:cs="Times New Roman"/>
          <w:b/>
          <w:sz w:val="27"/>
          <w:szCs w:val="27"/>
          <w:lang w:val="ru-RU"/>
        </w:rPr>
        <w:t>РЕШЕНИЕ</w:t>
      </w:r>
    </w:p>
    <w:p w:rsidR="00262886" w:rsidRDefault="00262886">
      <w:pPr>
        <w:pStyle w:val="Standard"/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</w:p>
    <w:p w:rsidR="00262886" w:rsidRDefault="005C5146">
      <w:pPr>
        <w:pStyle w:val="Standard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 xml:space="preserve">29.03.2024                                           р.п. </w:t>
      </w:r>
      <w:r>
        <w:rPr>
          <w:rFonts w:ascii="Times New Roman" w:hAnsi="Times New Roman" w:cs="Times New Roman"/>
          <w:sz w:val="27"/>
          <w:szCs w:val="27"/>
          <w:lang w:val="ru-RU"/>
        </w:rPr>
        <w:t>Токарёвка                                                  № 178</w:t>
      </w:r>
    </w:p>
    <w:p w:rsidR="00262886" w:rsidRDefault="00262886">
      <w:pPr>
        <w:pStyle w:val="Standard"/>
        <w:rPr>
          <w:rFonts w:ascii="Times New Roman" w:hAnsi="Times New Roman" w:cs="Times New Roman"/>
          <w:sz w:val="27"/>
          <w:szCs w:val="27"/>
          <w:lang w:val="ru-RU"/>
        </w:rPr>
      </w:pPr>
    </w:p>
    <w:p w:rsidR="00262886" w:rsidRDefault="005C5146">
      <w:pPr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  <w:r>
        <w:rPr>
          <w:rFonts w:ascii="Times New Roman" w:hAnsi="Times New Roman" w:cs="Times New Roman"/>
          <w:b/>
          <w:sz w:val="27"/>
          <w:szCs w:val="27"/>
          <w:lang w:val="ru-RU"/>
        </w:rPr>
        <w:t xml:space="preserve">О  внесении изменений в решение Совета депутатов Токарёвского муниципального округа Тамбовской области от 21.09.2023 № 41 </w:t>
      </w:r>
    </w:p>
    <w:p w:rsidR="00262886" w:rsidRDefault="005C5146">
      <w:pPr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  <w:r>
        <w:rPr>
          <w:rFonts w:ascii="Times New Roman" w:hAnsi="Times New Roman" w:cs="Times New Roman"/>
          <w:b/>
          <w:sz w:val="27"/>
          <w:szCs w:val="27"/>
          <w:lang w:val="ru-RU"/>
        </w:rPr>
        <w:t>«Об утверждении Положения о гарантиях осуществления полномочий депу</w:t>
      </w:r>
      <w:r>
        <w:rPr>
          <w:rFonts w:ascii="Times New Roman" w:hAnsi="Times New Roman" w:cs="Times New Roman"/>
          <w:b/>
          <w:sz w:val="27"/>
          <w:szCs w:val="27"/>
          <w:lang w:val="ru-RU"/>
        </w:rPr>
        <w:t xml:space="preserve">тата Совета депутатов Токарёвского муниципального округа Тамбовской области, главы Токарёвского муниципального округа Тамбовской области, </w:t>
      </w:r>
    </w:p>
    <w:p w:rsidR="00262886" w:rsidRDefault="005C5146">
      <w:pPr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  <w:r>
        <w:rPr>
          <w:rFonts w:ascii="Times New Roman" w:hAnsi="Times New Roman" w:cs="Times New Roman"/>
          <w:b/>
          <w:sz w:val="27"/>
          <w:szCs w:val="27"/>
          <w:lang w:val="ru-RU"/>
        </w:rPr>
        <w:t xml:space="preserve">иного выборного должностного лица местного самоуправления </w:t>
      </w:r>
    </w:p>
    <w:p w:rsidR="00262886" w:rsidRDefault="005C5146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7"/>
          <w:szCs w:val="27"/>
          <w:lang w:val="ru-RU"/>
        </w:rPr>
        <w:t>Токарёвского муниципального округа Тамбовской области</w:t>
      </w:r>
      <w:r>
        <w:rPr>
          <w:rFonts w:ascii="Times New Roman" w:hAnsi="Times New Roman" w:cs="Times New Roman"/>
          <w:b/>
          <w:sz w:val="27"/>
          <w:szCs w:val="27"/>
          <w:lang w:val="ru-RU" w:eastAsia="ru-RU"/>
        </w:rPr>
        <w:t xml:space="preserve">» </w:t>
      </w:r>
    </w:p>
    <w:p w:rsidR="00262886" w:rsidRDefault="00262886">
      <w:pPr>
        <w:pStyle w:val="Standard"/>
        <w:ind w:firstLine="851"/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:rsidR="00262886" w:rsidRDefault="005C5146">
      <w:pPr>
        <w:pStyle w:val="Standard"/>
        <w:ind w:firstLine="851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В</w:t>
      </w:r>
      <w:r>
        <w:rPr>
          <w:rFonts w:ascii="Times New Roman" w:hAnsi="Times New Roman" w:cs="Times New Roman"/>
          <w:sz w:val="27"/>
          <w:szCs w:val="27"/>
          <w:lang w:val="ru-RU"/>
        </w:rPr>
        <w:t xml:space="preserve"> соответствии с постановлением Правительства Тамбовской области от 02.08.2023 № 625 «О внесении изменений в отдельные постановления администрации области», Уставом Токарёвского муниципального округа Тамбовской области, рассмотрев заключение постоянной коми</w:t>
      </w:r>
      <w:r>
        <w:rPr>
          <w:rFonts w:ascii="Times New Roman" w:hAnsi="Times New Roman" w:cs="Times New Roman"/>
          <w:sz w:val="27"/>
          <w:szCs w:val="27"/>
          <w:lang w:val="ru-RU"/>
        </w:rPr>
        <w:t xml:space="preserve">ссии по бюджету, экономике, социальным вопросам и налогообложению, </w:t>
      </w:r>
    </w:p>
    <w:p w:rsidR="00262886" w:rsidRDefault="00262886">
      <w:pPr>
        <w:pStyle w:val="Standard"/>
        <w:ind w:firstLine="851"/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:rsidR="00262886" w:rsidRDefault="005C5146">
      <w:pPr>
        <w:pStyle w:val="Standard"/>
        <w:ind w:firstLine="851"/>
        <w:jc w:val="both"/>
        <w:rPr>
          <w:rFonts w:hint="eastAsia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 xml:space="preserve">Совет депутатов Токарёвского муниципального округа Тамбовской области </w:t>
      </w:r>
      <w:r>
        <w:rPr>
          <w:rFonts w:ascii="Times New Roman" w:hAnsi="Times New Roman" w:cs="Times New Roman"/>
          <w:b/>
          <w:sz w:val="27"/>
          <w:szCs w:val="27"/>
          <w:lang w:val="ru-RU"/>
        </w:rPr>
        <w:t>решил</w:t>
      </w:r>
      <w:r>
        <w:rPr>
          <w:rFonts w:ascii="Times New Roman" w:hAnsi="Times New Roman" w:cs="Times New Roman"/>
          <w:sz w:val="27"/>
          <w:szCs w:val="27"/>
          <w:lang w:val="ru-RU"/>
        </w:rPr>
        <w:t>:</w:t>
      </w:r>
    </w:p>
    <w:p w:rsidR="00262886" w:rsidRDefault="00262886">
      <w:pPr>
        <w:pStyle w:val="ab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262886" w:rsidRDefault="005C5146">
      <w:pPr>
        <w:pStyle w:val="ab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 Внести в Положение о гарантиях осуществления полномочий депутата Совета депутатов Токарёвского </w:t>
      </w:r>
      <w:r>
        <w:rPr>
          <w:rFonts w:ascii="Times New Roman" w:hAnsi="Times New Roman"/>
          <w:sz w:val="27"/>
          <w:szCs w:val="27"/>
        </w:rPr>
        <w:t>муниципального округа Тамбовской области, главы Токарёвского муниципального округа Тамбовской области, иного выборного должностного лица местного самоуправления Токарёвского муниципального округа Тамбовской области, утвержденное решением Совета депутатов Т</w:t>
      </w:r>
      <w:r>
        <w:rPr>
          <w:rFonts w:ascii="Times New Roman" w:hAnsi="Times New Roman"/>
          <w:sz w:val="27"/>
          <w:szCs w:val="27"/>
        </w:rPr>
        <w:t xml:space="preserve">окарёвского муниципального округа Тамбовской области от 21.09.2023 № 41 следующее изменение, а именно таблицу в Приложении № 1 к Положению изложить в новой редакции:  </w:t>
      </w:r>
    </w:p>
    <w:p w:rsidR="00262886" w:rsidRDefault="00262886">
      <w:pPr>
        <w:pStyle w:val="ab"/>
        <w:ind w:firstLine="851"/>
        <w:jc w:val="both"/>
        <w:rPr>
          <w:rFonts w:ascii="Times New Roman" w:hAnsi="Times New Roman"/>
          <w:sz w:val="27"/>
          <w:szCs w:val="27"/>
        </w:rPr>
      </w:pPr>
    </w:p>
    <w:tbl>
      <w:tblPr>
        <w:tblW w:w="1034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2694"/>
        <w:gridCol w:w="3685"/>
      </w:tblGrid>
      <w:tr w:rsidR="00262886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886" w:rsidRDefault="005C5146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выборных муниципальных должностей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886" w:rsidRDefault="005C514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Должностные оклады (рублей в месяц)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886" w:rsidRDefault="005C514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Размер ежемесячного денежного поощрения (должностных окладов в месяц)</w:t>
            </w:r>
          </w:p>
        </w:tc>
      </w:tr>
      <w:tr w:rsidR="00262886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886" w:rsidRDefault="005C514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val="ru-RU" w:eastAsia="ru-RU" w:bidi="ar-SA"/>
              </w:rPr>
              <w:t xml:space="preserve">Глава Токарёвского </w:t>
            </w:r>
          </w:p>
          <w:p w:rsidR="00262886" w:rsidRDefault="005C514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val="ru-RU" w:eastAsia="ru-RU" w:bidi="ar-SA"/>
              </w:rPr>
              <w:t>муниципального округа</w:t>
            </w:r>
          </w:p>
          <w:p w:rsidR="00262886" w:rsidRDefault="005C514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val="ru-RU" w:eastAsia="ru-RU" w:bidi="ar-SA"/>
              </w:rPr>
              <w:t>Тамбовской области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886" w:rsidRDefault="005C5146">
            <w:pPr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9 378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886" w:rsidRDefault="005C514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val="ru-RU" w:eastAsia="ru-RU" w:bidi="ar-SA"/>
              </w:rPr>
              <w:t>9,7</w:t>
            </w:r>
          </w:p>
        </w:tc>
      </w:tr>
      <w:tr w:rsidR="00262886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886" w:rsidRDefault="005C514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val="ru-RU" w:eastAsia="ru-RU" w:bidi="ar-SA"/>
              </w:rPr>
              <w:t xml:space="preserve">Председатель Совета </w:t>
            </w:r>
          </w:p>
          <w:p w:rsidR="00262886" w:rsidRDefault="005C514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val="ru-RU" w:eastAsia="ru-RU" w:bidi="ar-SA"/>
              </w:rPr>
              <w:t xml:space="preserve">депутатов Токарёвского </w:t>
            </w:r>
          </w:p>
          <w:p w:rsidR="00262886" w:rsidRDefault="005C5146">
            <w:pPr>
              <w:suppressAutoHyphens w:val="0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val="ru-RU" w:eastAsia="ru-RU" w:bidi="ar-SA"/>
              </w:rPr>
              <w:t>муниципального округа</w:t>
            </w:r>
          </w:p>
          <w:p w:rsidR="00262886" w:rsidRDefault="005C5146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val="ru-RU" w:eastAsia="ru-RU" w:bidi="ar-SA"/>
              </w:rPr>
              <w:t>Тамбовской области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886" w:rsidRDefault="005C5146">
            <w:pPr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9 378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886" w:rsidRDefault="005C514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val="ru-RU" w:eastAsia="ru-RU" w:bidi="ar-SA"/>
              </w:rPr>
              <w:t xml:space="preserve">  8,5»</w:t>
            </w:r>
          </w:p>
        </w:tc>
      </w:tr>
    </w:tbl>
    <w:p w:rsidR="00262886" w:rsidRDefault="00262886">
      <w:pPr>
        <w:tabs>
          <w:tab w:val="left" w:pos="709"/>
        </w:tabs>
        <w:jc w:val="both"/>
        <w:textAlignment w:val="auto"/>
        <w:rPr>
          <w:rFonts w:ascii="Times New Roman" w:eastAsia="Times New Roman" w:hAnsi="Times New Roman" w:cs="Times New Roman"/>
          <w:kern w:val="0"/>
          <w:sz w:val="27"/>
          <w:szCs w:val="27"/>
          <w:lang w:val="ru-RU" w:eastAsia="ru-RU" w:bidi="ar-SA"/>
        </w:rPr>
      </w:pPr>
    </w:p>
    <w:p w:rsidR="00262886" w:rsidRDefault="005C5146">
      <w:pPr>
        <w:tabs>
          <w:tab w:val="left" w:pos="709"/>
        </w:tabs>
        <w:jc w:val="both"/>
        <w:textAlignment w:val="auto"/>
        <w:rPr>
          <w:rFonts w:ascii="Times New Roman" w:eastAsia="Times New Roman" w:hAnsi="Times New Roman" w:cs="Times New Roman"/>
          <w:kern w:val="0"/>
          <w:sz w:val="27"/>
          <w:szCs w:val="27"/>
          <w:lang w:val="ru-RU" w:eastAsia="ru-RU" w:bidi="ar-SA"/>
        </w:rPr>
      </w:pPr>
      <w:r>
        <w:rPr>
          <w:rFonts w:ascii="Times New Roman" w:eastAsia="Times New Roman" w:hAnsi="Times New Roman" w:cs="Times New Roman"/>
          <w:kern w:val="0"/>
          <w:sz w:val="27"/>
          <w:szCs w:val="27"/>
          <w:lang w:val="ru-RU" w:eastAsia="ru-RU" w:bidi="ar-SA"/>
        </w:rPr>
        <w:tab/>
      </w:r>
    </w:p>
    <w:p w:rsidR="00262886" w:rsidRDefault="00262886">
      <w:pPr>
        <w:tabs>
          <w:tab w:val="left" w:pos="709"/>
        </w:tabs>
        <w:jc w:val="both"/>
        <w:textAlignment w:val="auto"/>
        <w:rPr>
          <w:rFonts w:ascii="Times New Roman" w:eastAsia="Times New Roman" w:hAnsi="Times New Roman" w:cs="Times New Roman"/>
          <w:kern w:val="0"/>
          <w:sz w:val="27"/>
          <w:szCs w:val="27"/>
          <w:lang w:val="ru-RU" w:eastAsia="ru-RU" w:bidi="ar-SA"/>
        </w:rPr>
      </w:pPr>
    </w:p>
    <w:p w:rsidR="00262886" w:rsidRDefault="00262886">
      <w:pPr>
        <w:tabs>
          <w:tab w:val="left" w:pos="709"/>
        </w:tabs>
        <w:jc w:val="both"/>
        <w:textAlignment w:val="auto"/>
        <w:rPr>
          <w:rFonts w:ascii="Times New Roman" w:eastAsia="Times New Roman" w:hAnsi="Times New Roman" w:cs="Times New Roman"/>
          <w:kern w:val="0"/>
          <w:sz w:val="27"/>
          <w:szCs w:val="27"/>
          <w:lang w:val="ru-RU" w:eastAsia="ru-RU" w:bidi="ar-SA"/>
        </w:rPr>
      </w:pPr>
    </w:p>
    <w:p w:rsidR="00262886" w:rsidRDefault="005C5146">
      <w:pPr>
        <w:tabs>
          <w:tab w:val="left" w:pos="709"/>
        </w:tabs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7"/>
          <w:szCs w:val="27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2. 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Контроль за исполнением настоящего решения возложить на постоянную комиссию по бюджету, экономике, социальным вопросам и налогообложению        </w:t>
      </w:r>
      <w:r>
        <w:rPr>
          <w:rFonts w:ascii="Times New Roman" w:hAnsi="Times New Roman" w:cs="Times New Roman"/>
          <w:sz w:val="27"/>
          <w:szCs w:val="27"/>
          <w:lang w:val="ru-RU"/>
        </w:rPr>
        <w:t>(И.В. Николаева)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.</w:t>
      </w:r>
    </w:p>
    <w:p w:rsidR="00262886" w:rsidRDefault="005C5146">
      <w:pPr>
        <w:tabs>
          <w:tab w:val="left" w:pos="709"/>
        </w:tabs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3. Опубликовать 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настоящее решение в общественно-политической газете Токарёвского района 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«Маяк», разместить  на сайте сетевого издания «РИА «ТОП68», а также на официальном сайте Токарёвского муниципального округа Тамбовской области в информационно-телекоммуникационной сети «Интернет». </w:t>
      </w:r>
    </w:p>
    <w:p w:rsidR="00262886" w:rsidRDefault="005C5146">
      <w:pPr>
        <w:tabs>
          <w:tab w:val="left" w:pos="709"/>
        </w:tabs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ab/>
        <w:t>4. Настоящее решение вступает в силу после его официально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го опубликования и распространяется на отношения, возникшие с 1 января 2024 года.</w:t>
      </w:r>
    </w:p>
    <w:p w:rsidR="00262886" w:rsidRDefault="00262886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:rsidR="00262886" w:rsidRDefault="00262886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:rsidR="00262886" w:rsidRDefault="00262886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:rsidR="00262886" w:rsidRDefault="005C5146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262886" w:rsidRDefault="005C5146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Глава  Токарёвского                                                Председатель Совета депутатов</w:t>
      </w:r>
    </w:p>
    <w:p w:rsidR="00262886" w:rsidRDefault="005C5146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муниципального округа                                         Токарёвско</w:t>
      </w:r>
      <w:r>
        <w:rPr>
          <w:rFonts w:ascii="Times New Roman" w:hAnsi="Times New Roman" w:cs="Times New Roman"/>
          <w:sz w:val="27"/>
          <w:szCs w:val="27"/>
          <w:lang w:val="ru-RU"/>
        </w:rPr>
        <w:t>го муниципального округа</w:t>
      </w:r>
    </w:p>
    <w:p w:rsidR="00262886" w:rsidRDefault="005C5146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Тамбовской области                                                Тамбовской области</w:t>
      </w:r>
    </w:p>
    <w:p w:rsidR="00262886" w:rsidRDefault="005C5146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rFonts w:hint="eastAsia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 xml:space="preserve">                              В.Н. Айдаров                                                                       Е.Д. Брагина</w:t>
      </w:r>
    </w:p>
    <w:sectPr w:rsidR="00262886">
      <w:pgSz w:w="12240" w:h="15840"/>
      <w:pgMar w:top="284" w:right="758" w:bottom="568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146" w:rsidRDefault="005C5146">
      <w:pPr>
        <w:rPr>
          <w:rFonts w:hint="eastAsia"/>
        </w:rPr>
      </w:pPr>
      <w:r>
        <w:separator/>
      </w:r>
    </w:p>
  </w:endnote>
  <w:endnote w:type="continuationSeparator" w:id="0">
    <w:p w:rsidR="005C5146" w:rsidRDefault="005C514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146" w:rsidRDefault="005C514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C5146" w:rsidRDefault="005C514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71EDE"/>
    <w:multiLevelType w:val="multilevel"/>
    <w:tmpl w:val="9E3E5548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>
    <w:nsid w:val="7FE37950"/>
    <w:multiLevelType w:val="multilevel"/>
    <w:tmpl w:val="8FF64F86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62886"/>
    <w:rsid w:val="00262886"/>
    <w:rsid w:val="005C5146"/>
    <w:rsid w:val="0080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5"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a"/>
    <w:next w:val="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Cs w:val="21"/>
    </w:rPr>
  </w:style>
  <w:style w:type="paragraph" w:styleId="4">
    <w:name w:val="heading 4"/>
    <w:basedOn w:val="a"/>
    <w:next w:val="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Cs w:val="21"/>
    </w:rPr>
  </w:style>
  <w:style w:type="paragraph" w:styleId="5">
    <w:name w:val="heading 5"/>
    <w:basedOn w:val="a"/>
    <w:next w:val="a"/>
    <w:pPr>
      <w:keepNext/>
      <w:keepLines/>
      <w:spacing w:before="200"/>
      <w:outlineLvl w:val="4"/>
    </w:pPr>
    <w:rPr>
      <w:rFonts w:ascii="Cambria" w:eastAsia="Times New Roman" w:hAnsi="Cambria"/>
      <w:color w:val="243F6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spacing w:after="200"/>
      <w:ind w:left="720"/>
    </w:pPr>
    <w:rPr>
      <w:rFonts w:ascii="Calibri" w:eastAsia="Calibri" w:hAnsi="Calibri" w:cs="Times New Roman"/>
      <w:lang w:eastAsia="en-US"/>
    </w:rPr>
  </w:style>
  <w:style w:type="paragraph" w:styleId="a6">
    <w:name w:val="Plain Text"/>
    <w:basedOn w:val="Standard"/>
    <w:rPr>
      <w:rFonts w:ascii="Courier New" w:eastAsia="Times New Roman" w:hAnsi="Courier New" w:cs="Times New Roman"/>
      <w:sz w:val="20"/>
      <w:szCs w:val="20"/>
    </w:rPr>
  </w:style>
  <w:style w:type="paragraph" w:customStyle="1" w:styleId="Standarduser">
    <w:name w:val="Standard (user)"/>
    <w:pPr>
      <w:widowControl w:val="0"/>
      <w:suppressAutoHyphens/>
    </w:pPr>
    <w:rPr>
      <w:rFonts w:ascii="Times New Roman" w:eastAsia="Lucida Sans Unicode" w:hAnsi="Times New Roman"/>
      <w:lang w:val="ru-RU"/>
    </w:rPr>
  </w:style>
  <w:style w:type="paragraph" w:styleId="a7">
    <w:name w:val="Body Text Indent"/>
    <w:basedOn w:val="a"/>
    <w:pPr>
      <w:spacing w:after="120"/>
      <w:ind w:left="283"/>
    </w:pPr>
    <w:rPr>
      <w:szCs w:val="21"/>
    </w:rPr>
  </w:style>
  <w:style w:type="character" w:customStyle="1" w:styleId="a8">
    <w:name w:val="Основной текст с отступом Знак"/>
    <w:basedOn w:val="a0"/>
    <w:rPr>
      <w:szCs w:val="21"/>
    </w:rPr>
  </w:style>
  <w:style w:type="paragraph" w:styleId="a9">
    <w:name w:val="Balloon Text"/>
    <w:basedOn w:val="a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rPr>
      <w:rFonts w:ascii="Tahoma" w:hAnsi="Tahoma"/>
      <w:sz w:val="16"/>
      <w:szCs w:val="14"/>
    </w:rPr>
  </w:style>
  <w:style w:type="paragraph" w:styleId="ab">
    <w:name w:val="No Spacing"/>
    <w:pPr>
      <w:suppressAutoHyphens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character" w:customStyle="1" w:styleId="10">
    <w:name w:val="Заголовок 1 Знак"/>
    <w:basedOn w:val="a0"/>
    <w:rPr>
      <w:rFonts w:ascii="Cambria" w:eastAsia="Times New Roman" w:hAnsi="Cambria"/>
      <w:b/>
      <w:bCs/>
      <w:color w:val="365F91"/>
      <w:sz w:val="28"/>
      <w:szCs w:val="25"/>
    </w:rPr>
  </w:style>
  <w:style w:type="character" w:customStyle="1" w:styleId="30">
    <w:name w:val="Заголовок 3 Знак"/>
    <w:basedOn w:val="a0"/>
    <w:rPr>
      <w:rFonts w:ascii="Cambria" w:eastAsia="Times New Roman" w:hAnsi="Cambria"/>
      <w:b/>
      <w:bCs/>
      <w:color w:val="4F81BD"/>
      <w:szCs w:val="21"/>
    </w:rPr>
  </w:style>
  <w:style w:type="character" w:customStyle="1" w:styleId="40">
    <w:name w:val="Заголовок 4 Знак"/>
    <w:basedOn w:val="a0"/>
    <w:rPr>
      <w:rFonts w:ascii="Cambria" w:eastAsia="Times New Roman" w:hAnsi="Cambria"/>
      <w:b/>
      <w:bCs/>
      <w:i/>
      <w:iCs/>
      <w:color w:val="4F81BD"/>
      <w:szCs w:val="21"/>
    </w:rPr>
  </w:style>
  <w:style w:type="character" w:customStyle="1" w:styleId="50">
    <w:name w:val="Заголовок 5 Знак"/>
    <w:basedOn w:val="a0"/>
    <w:rPr>
      <w:rFonts w:ascii="Cambria" w:eastAsia="Times New Roman" w:hAnsi="Cambria"/>
      <w:color w:val="243F60"/>
      <w:szCs w:val="21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5"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a"/>
    <w:next w:val="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Cs w:val="21"/>
    </w:rPr>
  </w:style>
  <w:style w:type="paragraph" w:styleId="4">
    <w:name w:val="heading 4"/>
    <w:basedOn w:val="a"/>
    <w:next w:val="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Cs w:val="21"/>
    </w:rPr>
  </w:style>
  <w:style w:type="paragraph" w:styleId="5">
    <w:name w:val="heading 5"/>
    <w:basedOn w:val="a"/>
    <w:next w:val="a"/>
    <w:pPr>
      <w:keepNext/>
      <w:keepLines/>
      <w:spacing w:before="200"/>
      <w:outlineLvl w:val="4"/>
    </w:pPr>
    <w:rPr>
      <w:rFonts w:ascii="Cambria" w:eastAsia="Times New Roman" w:hAnsi="Cambria"/>
      <w:color w:val="243F6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spacing w:after="200"/>
      <w:ind w:left="720"/>
    </w:pPr>
    <w:rPr>
      <w:rFonts w:ascii="Calibri" w:eastAsia="Calibri" w:hAnsi="Calibri" w:cs="Times New Roman"/>
      <w:lang w:eastAsia="en-US"/>
    </w:rPr>
  </w:style>
  <w:style w:type="paragraph" w:styleId="a6">
    <w:name w:val="Plain Text"/>
    <w:basedOn w:val="Standard"/>
    <w:rPr>
      <w:rFonts w:ascii="Courier New" w:eastAsia="Times New Roman" w:hAnsi="Courier New" w:cs="Times New Roman"/>
      <w:sz w:val="20"/>
      <w:szCs w:val="20"/>
    </w:rPr>
  </w:style>
  <w:style w:type="paragraph" w:customStyle="1" w:styleId="Standarduser">
    <w:name w:val="Standard (user)"/>
    <w:pPr>
      <w:widowControl w:val="0"/>
      <w:suppressAutoHyphens/>
    </w:pPr>
    <w:rPr>
      <w:rFonts w:ascii="Times New Roman" w:eastAsia="Lucida Sans Unicode" w:hAnsi="Times New Roman"/>
      <w:lang w:val="ru-RU"/>
    </w:rPr>
  </w:style>
  <w:style w:type="paragraph" w:styleId="a7">
    <w:name w:val="Body Text Indent"/>
    <w:basedOn w:val="a"/>
    <w:pPr>
      <w:spacing w:after="120"/>
      <w:ind w:left="283"/>
    </w:pPr>
    <w:rPr>
      <w:szCs w:val="21"/>
    </w:rPr>
  </w:style>
  <w:style w:type="character" w:customStyle="1" w:styleId="a8">
    <w:name w:val="Основной текст с отступом Знак"/>
    <w:basedOn w:val="a0"/>
    <w:rPr>
      <w:szCs w:val="21"/>
    </w:rPr>
  </w:style>
  <w:style w:type="paragraph" w:styleId="a9">
    <w:name w:val="Balloon Text"/>
    <w:basedOn w:val="a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rPr>
      <w:rFonts w:ascii="Tahoma" w:hAnsi="Tahoma"/>
      <w:sz w:val="16"/>
      <w:szCs w:val="14"/>
    </w:rPr>
  </w:style>
  <w:style w:type="paragraph" w:styleId="ab">
    <w:name w:val="No Spacing"/>
    <w:pPr>
      <w:suppressAutoHyphens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character" w:customStyle="1" w:styleId="10">
    <w:name w:val="Заголовок 1 Знак"/>
    <w:basedOn w:val="a0"/>
    <w:rPr>
      <w:rFonts w:ascii="Cambria" w:eastAsia="Times New Roman" w:hAnsi="Cambria"/>
      <w:b/>
      <w:bCs/>
      <w:color w:val="365F91"/>
      <w:sz w:val="28"/>
      <w:szCs w:val="25"/>
    </w:rPr>
  </w:style>
  <w:style w:type="character" w:customStyle="1" w:styleId="30">
    <w:name w:val="Заголовок 3 Знак"/>
    <w:basedOn w:val="a0"/>
    <w:rPr>
      <w:rFonts w:ascii="Cambria" w:eastAsia="Times New Roman" w:hAnsi="Cambria"/>
      <w:b/>
      <w:bCs/>
      <w:color w:val="4F81BD"/>
      <w:szCs w:val="21"/>
    </w:rPr>
  </w:style>
  <w:style w:type="character" w:customStyle="1" w:styleId="40">
    <w:name w:val="Заголовок 4 Знак"/>
    <w:basedOn w:val="a0"/>
    <w:rPr>
      <w:rFonts w:ascii="Cambria" w:eastAsia="Times New Roman" w:hAnsi="Cambria"/>
      <w:b/>
      <w:bCs/>
      <w:i/>
      <w:iCs/>
      <w:color w:val="4F81BD"/>
      <w:szCs w:val="21"/>
    </w:rPr>
  </w:style>
  <w:style w:type="character" w:customStyle="1" w:styleId="50">
    <w:name w:val="Заголовок 5 Знак"/>
    <w:basedOn w:val="a0"/>
    <w:rPr>
      <w:rFonts w:ascii="Cambria" w:eastAsia="Times New Roman" w:hAnsi="Cambria"/>
      <w:color w:val="243F60"/>
      <w:szCs w:val="21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Райсовет</dc:creator>
  <cp:lastModifiedBy>Пользователь</cp:lastModifiedBy>
  <cp:revision>2</cp:revision>
  <cp:lastPrinted>2024-03-29T11:15:00Z</cp:lastPrinted>
  <dcterms:created xsi:type="dcterms:W3CDTF">2024-04-01T13:37:00Z</dcterms:created>
  <dcterms:modified xsi:type="dcterms:W3CDTF">2024-04-01T13:37:00Z</dcterms:modified>
</cp:coreProperties>
</file>