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</w:t>
      </w:r>
      <w:r w:rsidR="00332B34">
        <w:rPr>
          <w:rFonts w:ascii="Times New Roman" w:hAnsi="Times New Roman" w:cs="Times New Roman"/>
          <w:b/>
        </w:rPr>
        <w:t>2</w:t>
      </w:r>
      <w:r w:rsidR="0032442A">
        <w:rPr>
          <w:rFonts w:ascii="Times New Roman" w:hAnsi="Times New Roman" w:cs="Times New Roman"/>
          <w:b/>
        </w:rPr>
        <w:t>2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F6722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F6722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6722B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32442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2442A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32442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2442A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2442A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988,0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79790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797905" w:rsidP="0032442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32442A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797905" w:rsidP="0032442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33</w:t>
            </w:r>
            <w:r w:rsidR="0032442A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32442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32442A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8B4EE8" w:rsidP="0032442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32442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  <w:r w:rsidR="003D7CE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</w:t>
            </w:r>
            <w:r w:rsidR="0032442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50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25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379F3" w:rsidRDefault="00797905" w:rsidP="003244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379F3">
              <w:rPr>
                <w:rFonts w:ascii="Times New Roman" w:hAnsi="Times New Roman" w:cs="Times New Roman"/>
              </w:rPr>
              <w:t>4</w:t>
            </w:r>
            <w:r w:rsidR="0032442A" w:rsidRPr="004379F3">
              <w:rPr>
                <w:rFonts w:ascii="Times New Roman" w:hAnsi="Times New Roman" w:cs="Times New Roman"/>
              </w:rPr>
              <w:t>10</w:t>
            </w:r>
            <w:r w:rsidRPr="004379F3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379F3" w:rsidRDefault="00997622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379F3">
              <w:rPr>
                <w:rFonts w:ascii="Times New Roman" w:hAnsi="Times New Roman" w:cs="Times New Roman"/>
              </w:rPr>
              <w:t>418,5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379F3" w:rsidRDefault="0099762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4379F3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423,9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4379F3" w:rsidRDefault="00997622" w:rsidP="00997622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4379F3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101,3%</w:t>
            </w:r>
          </w:p>
          <w:p w:rsidR="00DC015F" w:rsidRPr="004379F3" w:rsidRDefault="00DC015F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253106">
              <w:rPr>
                <w:rFonts w:ascii="Times New Roman" w:hAnsi="Times New Roman" w:cs="Times New Roman"/>
                <w:color w:val="000000"/>
              </w:rPr>
              <w:t>2</w:t>
            </w:r>
            <w:r w:rsidR="00797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79790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95,2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79790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797905" w:rsidP="00A0520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A052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59</w:t>
            </w:r>
            <w:r w:rsidR="0079790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</w:t>
            </w:r>
            <w:r w:rsidR="00A0520A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3D7CE5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315982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5982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7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D35B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="004C6233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7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D35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B5B08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находящихся в муниципальной собственности 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7B81" w:rsidRPr="000B5B08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F861C1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3701BD" w:rsidRPr="00F861C1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 xml:space="preserve">обслуживыемых </w:t>
            </w:r>
            <w:r w:rsidRPr="00F861C1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B5B08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B5B08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B5B08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F861C1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</w:t>
            </w:r>
            <w:r>
              <w:rPr>
                <w:rFonts w:ascii="Times New Roman" w:hAnsi="Times New Roman" w:cs="Times New Roman"/>
              </w:rPr>
              <w:t>я</w:t>
            </w:r>
            <w:r w:rsidRPr="00F861C1">
              <w:rPr>
                <w:rFonts w:ascii="Times New Roman" w:hAnsi="Times New Roman" w:cs="Times New Roman"/>
              </w:rPr>
              <w:t xml:space="preserve">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F861C1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B5B08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5242ED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</w:t>
      </w:r>
      <w:r w:rsidR="00F6722B">
        <w:rPr>
          <w:rFonts w:ascii="Times New Roman" w:hAnsi="Times New Roman" w:cs="Times New Roman"/>
          <w:b/>
        </w:rPr>
        <w:t>2</w:t>
      </w:r>
      <w:r w:rsidR="0032442A">
        <w:rPr>
          <w:rFonts w:ascii="Times New Roman" w:hAnsi="Times New Roman" w:cs="Times New Roman"/>
          <w:b/>
        </w:rPr>
        <w:t>2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A0520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>2</w:t>
            </w:r>
            <w:r w:rsidR="00F2762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(кредитование СМП)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79790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4379F3" w:rsidRDefault="004379F3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379F3">
              <w:rPr>
                <w:rFonts w:ascii="Times New Roman" w:hAnsi="Times New Roman" w:cs="Times New Roman"/>
              </w:rPr>
              <w:t>418,5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4379F3" w:rsidRDefault="004379F3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4379F3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423,9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79790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  <w:r w:rsidR="00256671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,0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0B5B08" w:rsidRDefault="00A0520A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40,0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</w:t>
            </w: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 xml:space="preserve">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A0520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797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473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A0520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A0520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7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D35B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7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D35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0C788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274E5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7D35B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A50FC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21712,9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A50FC3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8250,4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F03C13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F03C1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1 полугодие 20</w:t>
      </w:r>
      <w:r w:rsidR="00522345">
        <w:rPr>
          <w:rFonts w:ascii="Times New Roman" w:hAnsi="Times New Roman" w:cs="Times New Roman"/>
          <w:b/>
        </w:rPr>
        <w:t>2</w:t>
      </w:r>
      <w:r w:rsidR="0032442A">
        <w:rPr>
          <w:rFonts w:ascii="Times New Roman" w:hAnsi="Times New Roman" w:cs="Times New Roman"/>
          <w:b/>
        </w:rPr>
        <w:t>2</w:t>
      </w:r>
      <w:r w:rsidRPr="000B5B08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32442A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  <w:r w:rsidR="0032442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2022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32442A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  <w:r w:rsidR="0032442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2022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</w:t>
            </w:r>
            <w:r w:rsidR="000C02F5" w:rsidRPr="006F059F">
              <w:rPr>
                <w:rFonts w:ascii="Times New Roman" w:hAnsi="Times New Roman" w:cs="Times New Roman"/>
              </w:rPr>
              <w:t>0</w:t>
            </w:r>
            <w:r w:rsidRPr="006F05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7</w:t>
            </w:r>
            <w:r w:rsidR="00A375B4"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0</w:t>
            </w: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7D35BA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7D35BA">
              <w:rPr>
                <w:rFonts w:ascii="Times New Roman" w:eastAsia="Times New Roman" w:hAnsi="Times New Roman" w:cs="Times New Roman"/>
                <w:b/>
                <w:highlight w:val="yellow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A50FC3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29926,1</w:t>
            </w:r>
          </w:p>
          <w:p w:rsidR="000647F5" w:rsidRPr="00F80F1B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92779F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A50FC3"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8574,8</w:t>
            </w:r>
          </w:p>
          <w:p w:rsidR="000647F5" w:rsidRPr="00F80F1B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7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F80F1B" w:rsidP="00F8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28281,7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A50FC3" w:rsidP="00A5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bookmarkStart w:id="0" w:name="_GoBack"/>
            <w:bookmarkEnd w:id="0"/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26930,4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80F1B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80F1B" w:rsidRPr="000647F5" w:rsidRDefault="00F80F1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385C86" w:rsidRDefault="00F80F1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1B" w:rsidRPr="000647F5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29926,1</w:t>
            </w:r>
          </w:p>
          <w:p w:rsidR="00F80F1B" w:rsidRPr="00F80F1B" w:rsidRDefault="00F80F1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28574,8</w:t>
            </w:r>
          </w:p>
          <w:p w:rsidR="00F80F1B" w:rsidRPr="00F80F1B" w:rsidRDefault="00F80F1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2557AC" w:rsidRDefault="00F80F1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57A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A0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28281,7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A0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A0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F1B" w:rsidRPr="00F80F1B" w:rsidRDefault="00F80F1B" w:rsidP="00A0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26930,4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80F1B" w:rsidRPr="002557AC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57A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Andale Sans UI" w:hAnsi="Times New Roman" w:cs="Times New Roman"/>
                <w:highlight w:val="yellow"/>
              </w:rPr>
              <w:t>21490,5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Andale Sans UI" w:hAnsi="Times New Roman" w:cs="Times New Roman"/>
                <w:highlight w:val="yellow"/>
              </w:rPr>
              <w:t>21490,5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21712,9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21712,9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02F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F03C13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385C86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Andale Sans UI" w:hAnsi="Times New Roman" w:cs="Times New Roman"/>
                <w:highlight w:val="yellow"/>
              </w:rPr>
              <w:t>21490,5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Andale Sans UI" w:hAnsi="Times New Roman" w:cs="Times New Roman"/>
                <w:highlight w:val="yellow"/>
              </w:rPr>
              <w:t>21490,5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21712,9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A50FC3" w:rsidRDefault="00A50FC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50F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21712,9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обеспечению деятельности </w:t>
            </w:r>
            <w:r w:rsidRPr="00F03C13">
              <w:rPr>
                <w:rFonts w:ascii="Times New Roman" w:hAnsi="Times New Roman" w:cs="Times New Roman"/>
              </w:rPr>
              <w:lastRenderedPageBreak/>
              <w:t>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Andale Sans UI" w:hAnsi="Times New Roman" w:cs="Times New Roman"/>
                <w:highlight w:val="yellow"/>
              </w:rPr>
              <w:t>7350,0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Andale Sans UI" w:hAnsi="Times New Roman" w:cs="Times New Roman"/>
                <w:highlight w:val="yellow"/>
              </w:rPr>
              <w:t>7350,0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Andale Sans UI" w:hAnsi="Times New Roman" w:cs="Times New Roman"/>
                <w:b/>
                <w:highlight w:val="yellow"/>
              </w:rPr>
              <w:t>7350,0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Andale Sans UI" w:hAnsi="Times New Roman" w:cs="Times New Roman"/>
                <w:b/>
                <w:highlight w:val="yellow"/>
              </w:rPr>
              <w:t>7350,0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8361,1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F80F1B" w:rsidRDefault="000C02F5" w:rsidP="00F8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</w:t>
            </w:r>
            <w:r w:rsidR="00F80F1B"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58836,6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57485,3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58425,7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834,5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7BA9" w:rsidRDefault="00167B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167BA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57074,4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hAnsi="Times New Roman" w:cs="Times New Roman"/>
                <w:b/>
                <w:highlight w:val="yellow"/>
              </w:rPr>
              <w:t>40,0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  <w:highlight w:val="yellow"/>
              </w:rPr>
            </w:pPr>
            <w:r w:rsidRPr="00A0520A">
              <w:rPr>
                <w:rFonts w:ascii="Calibri" w:eastAsia="Calibri" w:hAnsi="Calibri" w:cs="Times New Roman"/>
                <w:b/>
                <w:highlight w:val="yellow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A0520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A0520A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052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highlight w:val="yellow"/>
              </w:rPr>
            </w:pPr>
            <w:r w:rsidRPr="00A0520A">
              <w:rPr>
                <w:rFonts w:ascii="Calibri" w:eastAsia="Calibri" w:hAnsi="Calibri" w:cs="Times New Roman"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highlight w:val="yellow"/>
              </w:rPr>
            </w:pPr>
            <w:r w:rsidRPr="00A0520A">
              <w:rPr>
                <w:rFonts w:ascii="Times New Roman" w:eastAsia="Calibri" w:hAnsi="Times New Roman" w:cs="Times New Roman"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A0520A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  <w:r w:rsidRPr="00A0520A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</w:p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</w:p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</w:p>
          <w:p w:rsidR="00CC79DD" w:rsidRPr="00A0520A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794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A0520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40,0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A0520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A0520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A0520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05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A0520A">
              <w:rPr>
                <w:rFonts w:ascii="Times New Roman" w:eastAsia="Times New Roman" w:hAnsi="Times New Roman" w:cs="Times New Roman"/>
                <w:b/>
                <w:highlight w:val="yellow"/>
              </w:rPr>
              <w:t>-</w:t>
            </w: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271F26" w:rsidRDefault="00271F26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12622,1</w:t>
            </w:r>
          </w:p>
          <w:p w:rsidR="00EF5B62" w:rsidRPr="00271F26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237,5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11802,4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271F26" w:rsidRDefault="00271F26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271F26" w:rsidRDefault="00271F26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12622,1</w:t>
            </w:r>
          </w:p>
          <w:p w:rsidR="008822E2" w:rsidRPr="00271F26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352,6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237,5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11802,4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271F26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F5B9C" w:rsidRDefault="00CF5B9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8250,4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F5B9C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F5B9C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F5B9C" w:rsidRDefault="00CF5B9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CF5B9C" w:rsidRDefault="00CF5B9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8250,4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CF5B9C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CF5B9C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CF5B9C" w:rsidRDefault="00CF5B9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F5B9C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8250,4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271F26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271F2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271F2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271F26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3928,2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80F1B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80F1B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3928,2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71F26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47,</w:t>
            </w:r>
            <w:r w:rsidR="00271F26"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71F26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71F26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71F26" w:rsidRDefault="00744596" w:rsidP="0027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47,</w:t>
            </w:r>
            <w:r w:rsidR="00271F26" w:rsidRPr="00271F2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3928,2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80F1B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80F1B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80F1B" w:rsidRDefault="00F80F1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F80F1B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3928,2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744596" w:rsidP="0027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47,</w:t>
            </w:r>
            <w:r w:rsidR="00271F26"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71F26" w:rsidRDefault="00744596" w:rsidP="0027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47,</w:t>
            </w:r>
            <w:r w:rsidR="00271F26"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B43057" w:rsidRDefault="00FC296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24840,7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352,6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237,5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25035,3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F5B62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E45D1" w:rsidRDefault="00271F2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F2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E45D1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5D1">
              <w:rPr>
                <w:rFonts w:ascii="Times New Roman" w:eastAsia="Times New Roman" w:hAnsi="Times New Roman" w:cs="Times New Roman"/>
                <w:b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E45D1" w:rsidRDefault="00AE45D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5D1">
              <w:rPr>
                <w:rFonts w:ascii="Times New Roman" w:eastAsia="Times New Roman" w:hAnsi="Times New Roman" w:cs="Times New Roman"/>
                <w:b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E45D1" w:rsidRDefault="00AE45D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5D1">
              <w:rPr>
                <w:rFonts w:ascii="Times New Roman" w:eastAsia="Times New Roman" w:hAnsi="Times New Roman" w:cs="Times New Roman"/>
                <w:b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E45D1" w:rsidRDefault="000C2D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5D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F54C6" w:rsidRPr="000B5B08" w:rsidRDefault="00DF54C6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8(47557)</w:t>
      </w:r>
      <w:r w:rsidR="00583421"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C00" w:rsidRDefault="00AC3C00" w:rsidP="00870EC7">
      <w:pPr>
        <w:spacing w:after="0" w:line="240" w:lineRule="auto"/>
      </w:pPr>
      <w:r>
        <w:separator/>
      </w:r>
    </w:p>
  </w:endnote>
  <w:endnote w:type="continuationSeparator" w:id="1">
    <w:p w:rsidR="00AC3C00" w:rsidRDefault="00AC3C00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C00" w:rsidRDefault="00AC3C00" w:rsidP="00870EC7">
      <w:pPr>
        <w:spacing w:after="0" w:line="240" w:lineRule="auto"/>
      </w:pPr>
      <w:r>
        <w:separator/>
      </w:r>
    </w:p>
  </w:footnote>
  <w:footnote w:type="continuationSeparator" w:id="1">
    <w:p w:rsidR="00AC3C00" w:rsidRDefault="00AC3C00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747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58B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7BA9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031E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1F26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9EB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442A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9F3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6233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6074"/>
    <w:rsid w:val="00746B32"/>
    <w:rsid w:val="00747F39"/>
    <w:rsid w:val="00750400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545"/>
    <w:rsid w:val="007927EF"/>
    <w:rsid w:val="00792B7F"/>
    <w:rsid w:val="00792CCB"/>
    <w:rsid w:val="0079445B"/>
    <w:rsid w:val="00794502"/>
    <w:rsid w:val="0079726C"/>
    <w:rsid w:val="00797905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5D4F"/>
    <w:rsid w:val="007C6E3A"/>
    <w:rsid w:val="007C76A5"/>
    <w:rsid w:val="007C775E"/>
    <w:rsid w:val="007D03F9"/>
    <w:rsid w:val="007D09A8"/>
    <w:rsid w:val="007D2973"/>
    <w:rsid w:val="007D35BA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51C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97622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20A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0F8F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0FC3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3C00"/>
    <w:rsid w:val="00AC40F8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057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5B9C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134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67D2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4C6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397B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0F1B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690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2967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3E96-1924-42EC-B615-F7938AF4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12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72</cp:revision>
  <cp:lastPrinted>2019-03-14T07:52:00Z</cp:lastPrinted>
  <dcterms:created xsi:type="dcterms:W3CDTF">2019-03-13T10:59:00Z</dcterms:created>
  <dcterms:modified xsi:type="dcterms:W3CDTF">2022-09-08T11:01:00Z</dcterms:modified>
</cp:coreProperties>
</file>