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008" w:rsidRDefault="00D029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Приложение № 1 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2018 г.</w:t>
      </w:r>
    </w:p>
    <w:p w:rsidR="000F0008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B418E" w:rsidRPr="00B5024E" w:rsidRDefault="001B418E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="00B5024E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bCs/>
                <w:sz w:val="20"/>
                <w:szCs w:val="20"/>
              </w:rPr>
            </w:pPr>
            <w:r w:rsidRPr="00B5024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9,5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10,5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692C87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bCs/>
                <w:sz w:val="20"/>
                <w:szCs w:val="20"/>
              </w:rPr>
            </w:pPr>
            <w:r w:rsidRPr="00B5024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22,5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692C87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692C87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E804E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D029B6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CF7080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CF7080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CF7080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Подпрограмма «Патриотическое воспитание населения Токаревского района на 2014 - 202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E804E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«Комплексные меры противодействия злоупотреблению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наркотическими средствами и их неза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конному обороту в Токаревском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</w:p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2014-202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0F0008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</w:t>
            </w:r>
            <w:r w:rsidR="001B418E">
              <w:rPr>
                <w:rFonts w:ascii="Times New Roman" w:hAnsi="Times New Roman" w:cs="Times New Roman"/>
                <w:sz w:val="20"/>
                <w:szCs w:val="20"/>
              </w:rPr>
              <w:t>молодежи.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E804E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9C9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в Токарёвском районе» на 2016-2024 годы</w:t>
            </w: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418E" w:rsidRDefault="001B418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418E" w:rsidRDefault="001B418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 2018 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74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02"/>
        <w:gridCol w:w="4660"/>
        <w:gridCol w:w="2273"/>
        <w:gridCol w:w="2706"/>
        <w:gridCol w:w="979"/>
        <w:gridCol w:w="1714"/>
        <w:gridCol w:w="1382"/>
        <w:gridCol w:w="1424"/>
      </w:tblGrid>
      <w:tr w:rsidR="000F0008" w:rsidTr="00646D83">
        <w:tc>
          <w:tcPr>
            <w:tcW w:w="6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6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646D83">
        <w:tc>
          <w:tcPr>
            <w:tcW w:w="6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646D83">
        <w:tc>
          <w:tcPr>
            <w:tcW w:w="1574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E804E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Администрация района</w:t>
            </w:r>
          </w:p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1574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питание населения Токаревского 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района на 2014 - 202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CF70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7080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0F0008" w:rsidRPr="00B5024E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Проведение </w:t>
            </w:r>
            <w:r w:rsidR="00B5024E" w:rsidRPr="00B5024E">
              <w:rPr>
                <w:sz w:val="20"/>
                <w:szCs w:val="20"/>
              </w:rPr>
              <w:t>мероприятий,</w:t>
            </w:r>
            <w:r w:rsidRPr="00B5024E">
              <w:rPr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CF70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7080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rPr>
          <w:trHeight w:val="99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1574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 w:rsid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наркотическими средствами</w:t>
            </w:r>
            <w:r w:rsid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</w:t>
            </w:r>
            <w:r w:rsid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аконному обороту в Токаревском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районе на 2014-202</w:t>
            </w:r>
            <w:r w:rsidR="00F21B3B"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rPr>
          <w:trHeight w:val="1175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646D83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0F0008" w:rsidRPr="00B5024E" w:rsidRDefault="000F0008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D83" w:rsidRPr="005C28C1" w:rsidTr="00646D83">
        <w:tblPrEx>
          <w:tblCellMar>
            <w:left w:w="103" w:type="dxa"/>
          </w:tblCellMar>
        </w:tblPrEx>
        <w:tc>
          <w:tcPr>
            <w:tcW w:w="1574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</w:tc>
      </w:tr>
      <w:tr w:rsidR="00646D83" w:rsidRPr="005C28C1" w:rsidTr="00646D83">
        <w:tblPrEx>
          <w:tblCellMar>
            <w:left w:w="103" w:type="dxa"/>
          </w:tblCellMar>
        </w:tblPrEx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Отдел по организационной работе и взаимодействию с органами местного самоуправления и общественными организациями администрации района 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6D83" w:rsidRPr="005C28C1" w:rsidTr="00646D83">
        <w:tblPrEx>
          <w:tblCellMar>
            <w:left w:w="103" w:type="dxa"/>
          </w:tblCellMar>
        </w:tblPrEx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Отдел по организационной </w:t>
            </w:r>
            <w:r w:rsidRPr="005C28C1">
              <w:rPr>
                <w:sz w:val="20"/>
                <w:szCs w:val="20"/>
              </w:rPr>
              <w:lastRenderedPageBreak/>
              <w:t>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74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D83" w:rsidRDefault="00646D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</w:p>
    <w:p w:rsidR="00646D83" w:rsidRDefault="00646D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6282F"/>
          <w:lang w:eastAsia="ru-RU"/>
        </w:rPr>
      </w:pPr>
    </w:p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*</w:t>
      </w:r>
      <w:bookmarkStart w:id="1" w:name="sub_10061"/>
      <w:bookmarkEnd w:id="1"/>
      <w:r>
        <w:rPr>
          <w:rFonts w:ascii="Times New Roman" w:eastAsia="Times New Roman" w:hAnsi="Times New Roman" w:cs="Times New Roman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0F0008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B5024E" w:rsidRDefault="00B5024E" w:rsidP="00646D83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6D83" w:rsidRDefault="00646D83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годы» за 2018 г.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tbl>
      <w:tblPr>
        <w:tblW w:w="15599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8"/>
        <w:gridCol w:w="6"/>
        <w:gridCol w:w="2672"/>
        <w:gridCol w:w="993"/>
        <w:gridCol w:w="992"/>
        <w:gridCol w:w="1134"/>
        <w:gridCol w:w="1134"/>
        <w:gridCol w:w="1276"/>
        <w:gridCol w:w="1172"/>
        <w:gridCol w:w="895"/>
        <w:gridCol w:w="1047"/>
        <w:gridCol w:w="1028"/>
        <w:gridCol w:w="1178"/>
        <w:gridCol w:w="1484"/>
      </w:tblGrid>
      <w:tr w:rsidR="000F0008" w:rsidTr="00404AB8">
        <w:tc>
          <w:tcPr>
            <w:tcW w:w="15599" w:type="dxa"/>
            <w:gridSpan w:val="14"/>
            <w:tcBorders>
              <w:bottom w:val="single" w:sz="4" w:space="0" w:color="00000A"/>
            </w:tcBorders>
            <w:shd w:val="clear" w:color="auto" w:fill="auto"/>
          </w:tcPr>
          <w:p w:rsidR="000F0008" w:rsidRDefault="00D029B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F0008" w:rsidTr="00404AB8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201</w:t>
            </w:r>
            <w:r w:rsidR="00F2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63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</w:t>
            </w:r>
            <w:r w:rsidR="00F2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F0008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F0008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F21B3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Участие в областном Новогоднем</w:t>
            </w:r>
          </w:p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губернаторском </w:t>
            </w:r>
          </w:p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молодежном карнавале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6422D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Чествование медалистов, выпускников школ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8D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029B6" w:rsidRPr="006C28D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E804E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091CD5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8DB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Итоговый образовательный форум волонтерских отрядов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Токарёвского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ДоброТок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- 2019»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C28D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C28D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6C28D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28DB" w:rsidTr="00B5024E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ЭКОдружба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091CD5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C28D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B5024E" w:rsidP="00646D83">
            <w:pPr>
              <w:widowControl w:val="0"/>
              <w:spacing w:after="0" w:line="240" w:lineRule="auto"/>
              <w:jc w:val="center"/>
            </w:pPr>
            <w:r>
              <w:t>56,0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7B8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257B85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B5024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4. Подпрограмма «Патриотическое воспитание населения Токаревского  района на 2014 - 202</w:t>
            </w:r>
            <w:r w:rsidR="00F21B3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118,4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118,4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акции «Георгиевская ленточка»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67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67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67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63367B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67B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Проведение встреч участников боевых 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lastRenderedPageBreak/>
              <w:t xml:space="preserve">действий в Афганистане и Чеченской республике с молодым поколением.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D02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BD7D7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BD7D7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18,4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18,4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0F0008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и их незаконному обороту в Токаревском  районе на 2014-202</w:t>
            </w:r>
            <w:r w:rsidR="00F21B3B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C83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D029B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8570EB">
        <w:trPr>
          <w:trHeight w:val="2724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029B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029B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rPr>
          <w:trHeight w:val="545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Проведение районных культурно-массовых мероприятий (фестивалей и конкурсов самодеятельного </w:t>
            </w:r>
            <w:r>
              <w:rPr>
                <w:rFonts w:ascii="Times New Roman" w:hAnsi="Times New Roman" w:cs="Times New Roman"/>
              </w:rPr>
              <w:lastRenderedPageBreak/>
              <w:t>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6336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029B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F0008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мониторинга среди учащихся старших классов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D83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«Поддержка социально-ориентированных некоммерческих организаций </w:t>
            </w: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2016-2020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Default="00646D8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D83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5C28C1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5C28C1" w:rsidRDefault="00646D83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46D83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5C28C1" w:rsidRDefault="00646D83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6D83" w:rsidRPr="005C28C1" w:rsidRDefault="00646D83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6D83" w:rsidRPr="00850429" w:rsidRDefault="00646D8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42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50429" w:rsidTr="008E4C4F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Pr="008431AC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подпрограммам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429" w:rsidTr="008E4C4F">
        <w:tc>
          <w:tcPr>
            <w:tcW w:w="5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258,8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196E4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255,7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204,7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Default="00196E4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E4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51,0</w:t>
            </w: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(распиши по мероприятиям)</w:t>
            </w:r>
            <w:bookmarkStart w:id="2" w:name="_GoBack"/>
            <w:bookmarkEnd w:id="2"/>
          </w:p>
        </w:tc>
      </w:tr>
    </w:tbl>
    <w:p w:rsidR="000F0008" w:rsidRDefault="000F0008">
      <w:pPr>
        <w:tabs>
          <w:tab w:val="left" w:pos="3820"/>
        </w:tabs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-85"/>
        <w:tblW w:w="158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0F0008" w:rsidTr="00257B85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F21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Участие в областном Новогоднем</w:t>
            </w:r>
          </w:p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молодежном карнавале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BD7D71" w:rsidRDefault="00D029B6" w:rsidP="00BD7D7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F52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Подпрограмма «Патриотическое воспитание населения Токаревского  района на 2014 </w:t>
            </w:r>
            <w:r w:rsidR="00F21B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21B3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приуроченных к празднованию Дня защитников Отечества, в рамках месячника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оборонно-массовой работы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«Георгиевская ленточка»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trHeight w:val="1736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trHeight w:val="142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257B85" w:rsidRDefault="00D029B6" w:rsidP="00257B8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0F0008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и их незаконному обороту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Токаревском  районе на 2014-202</w:t>
            </w:r>
            <w:r w:rsidR="00F21B3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E80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Участие в областных и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840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6.Подпрограмма «Поддержка социально-ориентированных некоммерческих организаций </w:t>
            </w:r>
            <w:proofErr w:type="spellStart"/>
            <w:r w:rsidR="00850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Токарёвского</w:t>
            </w:r>
            <w:proofErr w:type="spellEnd"/>
            <w:r w:rsidR="00850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2016-2024</w:t>
            </w: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840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840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840" w:rsidTr="002D1BAD">
        <w:trPr>
          <w:trHeight w:val="56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</w:t>
            </w:r>
          </w:p>
          <w:p w:rsidR="00EF1840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196E43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196E43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196E43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Default="00196E43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0F0008" w:rsidRDefault="000F0008" w:rsidP="00EF18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008" w:rsidRDefault="008570E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proofErr w:type="spellStart"/>
      <w:r w:rsidR="00D029B6"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r w:rsidR="00D02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2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Тел.: 2-52-80</w:t>
      </w:r>
    </w:p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EF1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008" w:rsidRDefault="000F0008"/>
    <w:p w:rsidR="000F0008" w:rsidRDefault="000F0008"/>
    <w:sectPr w:rsidR="000F0008" w:rsidSect="000F0008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08"/>
    <w:rsid w:val="00091CD5"/>
    <w:rsid w:val="000E07A0"/>
    <w:rsid w:val="000F0008"/>
    <w:rsid w:val="00104DF5"/>
    <w:rsid w:val="00196E43"/>
    <w:rsid w:val="001B418E"/>
    <w:rsid w:val="00257B85"/>
    <w:rsid w:val="00294BDD"/>
    <w:rsid w:val="002C3D67"/>
    <w:rsid w:val="002F62B7"/>
    <w:rsid w:val="00342213"/>
    <w:rsid w:val="0039189D"/>
    <w:rsid w:val="003F2AC0"/>
    <w:rsid w:val="00404AB8"/>
    <w:rsid w:val="00430314"/>
    <w:rsid w:val="0063367B"/>
    <w:rsid w:val="00646D83"/>
    <w:rsid w:val="00692C87"/>
    <w:rsid w:val="006B5CC4"/>
    <w:rsid w:val="006C0FC1"/>
    <w:rsid w:val="006C28DB"/>
    <w:rsid w:val="007D3F3B"/>
    <w:rsid w:val="008431AC"/>
    <w:rsid w:val="00850429"/>
    <w:rsid w:val="00853EB9"/>
    <w:rsid w:val="008570EB"/>
    <w:rsid w:val="00883460"/>
    <w:rsid w:val="00A655C9"/>
    <w:rsid w:val="00AE0693"/>
    <w:rsid w:val="00B500F9"/>
    <w:rsid w:val="00B5024E"/>
    <w:rsid w:val="00B6422D"/>
    <w:rsid w:val="00BD7D71"/>
    <w:rsid w:val="00BE0F07"/>
    <w:rsid w:val="00BE63C3"/>
    <w:rsid w:val="00C830C7"/>
    <w:rsid w:val="00CC12EF"/>
    <w:rsid w:val="00CF2799"/>
    <w:rsid w:val="00CF7080"/>
    <w:rsid w:val="00D029B6"/>
    <w:rsid w:val="00E03262"/>
    <w:rsid w:val="00E71A12"/>
    <w:rsid w:val="00E804E8"/>
    <w:rsid w:val="00EF1840"/>
    <w:rsid w:val="00F21B3B"/>
    <w:rsid w:val="00F5220F"/>
    <w:rsid w:val="00F55D0E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CFB0A-397C-4D9A-A7D3-0340E370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7764F-11DC-442C-8EB0-66F6BF75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14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Отдел по экономике</cp:lastModifiedBy>
  <cp:revision>21</cp:revision>
  <cp:lastPrinted>2019-02-15T06:31:00Z</cp:lastPrinted>
  <dcterms:created xsi:type="dcterms:W3CDTF">2019-02-15T07:11:00Z</dcterms:created>
  <dcterms:modified xsi:type="dcterms:W3CDTF">2019-03-12T05:39:00Z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