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7D9" w:rsidRDefault="00A90E6B" w:rsidP="00B23D7E">
      <w:pPr>
        <w:ind w:firstLine="709"/>
        <w:jc w:val="center"/>
        <w:rPr>
          <w:rFonts w:ascii="Times New Roman" w:hAnsi="Times New Roman" w:cs="Times New Roman"/>
          <w:b/>
          <w:sz w:val="28"/>
        </w:rPr>
      </w:pPr>
      <w:r>
        <w:rPr>
          <w:rFonts w:ascii="Times New Roman" w:hAnsi="Times New Roman" w:cs="Times New Roman"/>
          <w:b/>
          <w:sz w:val="28"/>
        </w:rPr>
        <w:t>Выявление нарушений земельного законодательства при проведении комплексных кадастровых работ</w:t>
      </w:r>
    </w:p>
    <w:p w:rsidR="001877D9" w:rsidRDefault="00A90E6B" w:rsidP="00B23D7E">
      <w:pPr>
        <w:spacing w:after="0" w:line="240" w:lineRule="auto"/>
        <w:ind w:firstLine="709"/>
        <w:jc w:val="both"/>
        <w:rPr>
          <w:rFonts w:ascii="Times New Roman" w:hAnsi="Times New Roman"/>
          <w:sz w:val="28"/>
        </w:rPr>
      </w:pPr>
      <w:r>
        <w:rPr>
          <w:rFonts w:ascii="Times New Roman" w:hAnsi="Times New Roman" w:cs="Times New Roman"/>
          <w:sz w:val="28"/>
        </w:rPr>
        <w:t xml:space="preserve">Комплексные кадастровые работы – это кадастровые работы, </w:t>
      </w:r>
      <w:r>
        <w:rPr>
          <w:rFonts w:ascii="Times New Roman" w:hAnsi="Times New Roman"/>
          <w:sz w:val="28"/>
        </w:rPr>
        <w:t>финансируемые за счет федеральных, региональных и внебюджетных средств, позволяющие одновременно охватывать один или несколько кадастровых кварталов для дальнейшего уточнения местоположения границ всех входящих в их состав земельных участков, исправления реестровых ошибок, уточнения местоположения зданий и их привязки к земельным участкам, образования земельных участков общего пользования. Исключением</w:t>
      </w:r>
      <w:bookmarkStart w:id="0" w:name="_GoBack"/>
      <w:bookmarkEnd w:id="0"/>
      <w:r>
        <w:rPr>
          <w:rFonts w:ascii="Times New Roman" w:hAnsi="Times New Roman"/>
          <w:sz w:val="28"/>
        </w:rPr>
        <w:t xml:space="preserve"> являются линейные объекты и земельные участки, расположенные в границах территории, в отношении которой принято решение о ее комплексном развитии.</w:t>
      </w:r>
    </w:p>
    <w:p w:rsidR="001877D9" w:rsidRDefault="00A90E6B" w:rsidP="00B23D7E">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Указанные работы проводят способами, которые соответствуют требованиям к точности и методам определения координат характерных точек границ земельных участков (геодезический метод), а также без доступа на земельный участок  с помощью беспилотного воздушного судна посредством осуществления аэрофотосъемки (фотограмметрический метод), в ходе которой подготавливается ортофотоплан той или иной территории, в дальнейшем используемый как основа для карт-материалов (схем) в районах проведения кадастровых работ. </w:t>
      </w:r>
    </w:p>
    <w:p w:rsidR="001877D9" w:rsidRDefault="00A90E6B" w:rsidP="00B23D7E">
      <w:pPr>
        <w:spacing w:after="0" w:line="240" w:lineRule="auto"/>
        <w:ind w:firstLine="709"/>
        <w:jc w:val="both"/>
        <w:rPr>
          <w:rFonts w:ascii="Times New Roman" w:hAnsi="Times New Roman"/>
          <w:sz w:val="28"/>
          <w:szCs w:val="28"/>
        </w:rPr>
      </w:pPr>
      <w:r>
        <w:rPr>
          <w:rFonts w:ascii="Times New Roman" w:hAnsi="Times New Roman" w:cs="Times New Roman"/>
          <w:sz w:val="28"/>
        </w:rPr>
        <w:t xml:space="preserve">Картографическая основа во многом способствует выявлению </w:t>
      </w:r>
      <w:r>
        <w:rPr>
          <w:rFonts w:ascii="Times New Roman" w:hAnsi="Times New Roman"/>
          <w:sz w:val="28"/>
        </w:rPr>
        <w:t xml:space="preserve">нарушений обязательных норм земельного законодательства. Данные нарушения, в большинстве случаев, выражены в самовольном захвате (прихвате) земель. </w:t>
      </w:r>
    </w:p>
    <w:p w:rsidR="001877D9" w:rsidRDefault="00A90E6B" w:rsidP="00B23D7E">
      <w:pPr>
        <w:spacing w:after="0" w:line="240" w:lineRule="auto"/>
        <w:ind w:firstLine="709"/>
        <w:jc w:val="both"/>
        <w:rPr>
          <w:rFonts w:ascii="Times New Roman" w:hAnsi="Times New Roman"/>
          <w:sz w:val="28"/>
          <w:szCs w:val="28"/>
          <w:highlight w:val="yellow"/>
        </w:rPr>
      </w:pPr>
      <w:r>
        <w:rPr>
          <w:rFonts w:ascii="Times New Roman" w:hAnsi="Times New Roman"/>
          <w:sz w:val="28"/>
        </w:rPr>
        <w:t xml:space="preserve">При решении таких земельных споров специалисты Росреестра проводят проверочные мероприятия, направленные на установление признаков возможного нарушения в виде самовольного захвати части или полностью земельного участка, принадлежащего тому или иному лицу. В ходе контрольно-надзорного мероприятия государственным инспектором по использованию и охране земель нарушителю обязательных требований земельного законодательства может быть выдано предостережение о недопустимости нарушения обязательных требований при наличии признаков самовольного занятия земель, либо, в дальнейшем, предписание об устранении выявленных нарушений. </w:t>
      </w:r>
    </w:p>
    <w:p w:rsidR="001877D9" w:rsidRDefault="00A90E6B" w:rsidP="00B23D7E">
      <w:pPr>
        <w:spacing w:after="0" w:line="240" w:lineRule="auto"/>
        <w:ind w:firstLine="709"/>
        <w:jc w:val="both"/>
        <w:rPr>
          <w:rFonts w:ascii="Times New Roman" w:hAnsi="Times New Roman"/>
          <w:sz w:val="28"/>
        </w:rPr>
      </w:pPr>
      <w:r>
        <w:rPr>
          <w:rFonts w:ascii="Times New Roman" w:hAnsi="Times New Roman"/>
          <w:sz w:val="28"/>
        </w:rPr>
        <w:t>Так, в 2024 году в рамках реализации пилотного проекта «вовлечение объектов недвижимости в экономический оборот в целях повышения налоговых и неналоговых доходов консолидированного бюджета на территории Тамбовской области» Управлением Росреестра был проанализирован перечень земельных участков на территории с. Куксово, с. Лысые горы, с. Козьмодемьяновка, предоставленных Филиалом ППК «Роскадастр». Данный анализ был произведен на предмет выявления:</w:t>
      </w:r>
    </w:p>
    <w:p w:rsidR="001877D9" w:rsidRDefault="00B23D7E" w:rsidP="00B23D7E">
      <w:pPr>
        <w:pStyle w:val="af9"/>
        <w:spacing w:after="0" w:line="240" w:lineRule="auto"/>
        <w:ind w:left="851" w:firstLine="709"/>
        <w:jc w:val="both"/>
        <w:rPr>
          <w:rFonts w:ascii="Times New Roman" w:hAnsi="Times New Roman" w:cs="Times New Roman"/>
          <w:sz w:val="28"/>
        </w:rPr>
      </w:pPr>
      <w:r>
        <w:rPr>
          <w:rFonts w:ascii="Times New Roman" w:hAnsi="Times New Roman" w:cs="Times New Roman"/>
          <w:sz w:val="28"/>
        </w:rPr>
        <w:t xml:space="preserve">- </w:t>
      </w:r>
      <w:r w:rsidR="00A90E6B">
        <w:rPr>
          <w:rFonts w:ascii="Times New Roman" w:hAnsi="Times New Roman" w:cs="Times New Roman"/>
          <w:sz w:val="28"/>
        </w:rPr>
        <w:t>земельных участков, площадь фактического использования которых превышала сведения о площади, указанной в ЕГРН (Единый государственный реестр недвижимости);</w:t>
      </w:r>
    </w:p>
    <w:p w:rsidR="001877D9" w:rsidRDefault="00B23D7E" w:rsidP="00B23D7E">
      <w:pPr>
        <w:pStyle w:val="af9"/>
        <w:spacing w:after="0" w:line="240" w:lineRule="auto"/>
        <w:ind w:left="851" w:firstLine="709"/>
        <w:jc w:val="both"/>
        <w:rPr>
          <w:rFonts w:ascii="Times New Roman" w:hAnsi="Times New Roman" w:cs="Times New Roman"/>
          <w:sz w:val="28"/>
        </w:rPr>
      </w:pPr>
      <w:r>
        <w:rPr>
          <w:rFonts w:ascii="Times New Roman" w:hAnsi="Times New Roman" w:cs="Times New Roman"/>
          <w:sz w:val="28"/>
        </w:rPr>
        <w:t xml:space="preserve">- </w:t>
      </w:r>
      <w:r w:rsidR="00A90E6B">
        <w:rPr>
          <w:rFonts w:ascii="Times New Roman" w:hAnsi="Times New Roman" w:cs="Times New Roman"/>
          <w:sz w:val="28"/>
        </w:rPr>
        <w:t>земельных участков, сведения о которых отсутствуют в ЕГРН (как свободных от объектов недвижимости, но самовольно используемых, так и с расположенными на них объектами недвижимого имущества).</w:t>
      </w:r>
    </w:p>
    <w:p w:rsidR="001877D9" w:rsidRDefault="00B23D7E" w:rsidP="00B23D7E">
      <w:pPr>
        <w:pStyle w:val="af9"/>
        <w:spacing w:after="0" w:line="240" w:lineRule="auto"/>
        <w:ind w:left="851" w:firstLine="709"/>
        <w:jc w:val="both"/>
        <w:rPr>
          <w:rFonts w:ascii="Times New Roman" w:hAnsi="Times New Roman" w:cs="Times New Roman"/>
          <w:sz w:val="28"/>
        </w:rPr>
      </w:pPr>
      <w:r>
        <w:rPr>
          <w:rFonts w:ascii="Times New Roman" w:hAnsi="Times New Roman" w:cs="Times New Roman"/>
          <w:sz w:val="28"/>
        </w:rPr>
        <w:t xml:space="preserve">- </w:t>
      </w:r>
      <w:r w:rsidR="00A90E6B">
        <w:rPr>
          <w:rFonts w:ascii="Times New Roman" w:hAnsi="Times New Roman" w:cs="Times New Roman"/>
          <w:sz w:val="28"/>
        </w:rPr>
        <w:t>самовольных построек.</w:t>
      </w:r>
    </w:p>
    <w:p w:rsidR="001877D9" w:rsidRDefault="00A90E6B" w:rsidP="00B23D7E">
      <w:pPr>
        <w:pStyle w:val="af9"/>
        <w:spacing w:after="0" w:line="240" w:lineRule="auto"/>
        <w:ind w:left="0" w:firstLine="709"/>
        <w:jc w:val="both"/>
        <w:rPr>
          <w:rFonts w:ascii="Times New Roman" w:hAnsi="Times New Roman" w:cs="Times New Roman"/>
          <w:sz w:val="28"/>
        </w:rPr>
      </w:pPr>
      <w:r>
        <w:rPr>
          <w:rFonts w:ascii="Times New Roman" w:hAnsi="Times New Roman" w:cs="Times New Roman"/>
          <w:sz w:val="28"/>
        </w:rPr>
        <w:lastRenderedPageBreak/>
        <w:t>В итоге, по трем населенным пунктам выявлено 154 нарушения земельного законодательства, на площади практически 12 га (119 773 кв. м.).</w:t>
      </w:r>
    </w:p>
    <w:p w:rsidR="001877D9" w:rsidRDefault="00A90E6B" w:rsidP="00B23D7E">
      <w:pPr>
        <w:pStyle w:val="af9"/>
        <w:spacing w:after="0" w:line="240" w:lineRule="auto"/>
        <w:ind w:left="0" w:firstLine="709"/>
        <w:jc w:val="both"/>
        <w:rPr>
          <w:rFonts w:ascii="Times New Roman" w:hAnsi="Times New Roman" w:cs="Times New Roman"/>
          <w:sz w:val="28"/>
        </w:rPr>
      </w:pPr>
      <w:r>
        <w:rPr>
          <w:rFonts w:ascii="Times New Roman" w:hAnsi="Times New Roman" w:cs="Times New Roman"/>
          <w:sz w:val="28"/>
        </w:rPr>
        <w:t>По итогам контрольно-надзорных мероприятий, описанных выше, вынесено 202 предостережения собственникам, самовольно использующим земельные участки без оформленных правоустанавливающих документов, в том числе с захватом дополнительной земли. Кроме того, предостережения также выносятся лицам, использующим земельные участки без оформленных на них прав, в случае, если на таких участках расположены объекты капитального строительства (здания).</w:t>
      </w:r>
    </w:p>
    <w:p w:rsidR="001877D9" w:rsidRDefault="00A90E6B" w:rsidP="00B23D7E">
      <w:pPr>
        <w:pStyle w:val="af9"/>
        <w:spacing w:after="0" w:line="240" w:lineRule="auto"/>
        <w:ind w:left="0" w:firstLine="709"/>
        <w:jc w:val="both"/>
        <w:rPr>
          <w:rFonts w:ascii="Times New Roman" w:hAnsi="Times New Roman"/>
          <w:sz w:val="28"/>
        </w:rPr>
      </w:pPr>
      <w:r>
        <w:rPr>
          <w:rFonts w:ascii="Times New Roman" w:hAnsi="Times New Roman"/>
          <w:sz w:val="28"/>
        </w:rPr>
        <w:t>На сегодняшний момент глобальной целью Росреестра является уточнение местоположения и постановка на кадастровый учет всех земельных участков, расположенных в границах Российской Федерации, сроком до 2028 года.</w:t>
      </w:r>
    </w:p>
    <w:p w:rsidR="000D390C" w:rsidRDefault="000D390C" w:rsidP="00B23D7E">
      <w:pPr>
        <w:pStyle w:val="af9"/>
        <w:spacing w:after="0" w:line="240" w:lineRule="auto"/>
        <w:ind w:left="0" w:firstLine="709"/>
        <w:jc w:val="both"/>
        <w:rPr>
          <w:rFonts w:ascii="Times New Roman" w:hAnsi="Times New Roman"/>
          <w:sz w:val="28"/>
        </w:rPr>
      </w:pPr>
    </w:p>
    <w:p w:rsidR="000D390C" w:rsidRPr="00B70918" w:rsidRDefault="000D390C" w:rsidP="00B23D7E">
      <w:pPr>
        <w:pStyle w:val="af9"/>
        <w:spacing w:after="0" w:line="240" w:lineRule="auto"/>
        <w:ind w:left="0" w:firstLine="709"/>
        <w:jc w:val="both"/>
        <w:rPr>
          <w:rFonts w:ascii="Times New Roman" w:hAnsi="Times New Roman" w:cs="Times New Roman"/>
          <w:i/>
          <w:sz w:val="28"/>
        </w:rPr>
      </w:pPr>
      <w:r w:rsidRPr="00B70918">
        <w:rPr>
          <w:rFonts w:ascii="Times New Roman" w:hAnsi="Times New Roman"/>
          <w:i/>
          <w:sz w:val="28"/>
        </w:rPr>
        <w:t>Горбунова Дарья</w:t>
      </w:r>
      <w:r w:rsidR="00B70918" w:rsidRPr="00B70918">
        <w:rPr>
          <w:rFonts w:ascii="Times New Roman" w:hAnsi="Times New Roman"/>
          <w:i/>
          <w:sz w:val="28"/>
        </w:rPr>
        <w:t xml:space="preserve"> – специалист-эксперт отдела по контролю (надзору) в сфере саморегулируемых организаций и государственного земельного надзора Управления Росреестра по Тамбовской области</w:t>
      </w:r>
    </w:p>
    <w:sectPr w:rsidR="000D390C" w:rsidRPr="00B70918" w:rsidSect="00B23D7E">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754" w:rsidRDefault="00B34754">
      <w:pPr>
        <w:spacing w:after="0" w:line="240" w:lineRule="auto"/>
      </w:pPr>
      <w:r>
        <w:separator/>
      </w:r>
    </w:p>
  </w:endnote>
  <w:endnote w:type="continuationSeparator" w:id="0">
    <w:p w:rsidR="00B34754" w:rsidRDefault="00B34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754" w:rsidRDefault="00B34754">
      <w:pPr>
        <w:spacing w:after="0" w:line="240" w:lineRule="auto"/>
      </w:pPr>
      <w:r>
        <w:separator/>
      </w:r>
    </w:p>
  </w:footnote>
  <w:footnote w:type="continuationSeparator" w:id="0">
    <w:p w:rsidR="00B34754" w:rsidRDefault="00B34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B9677B"/>
    <w:multiLevelType w:val="hybridMultilevel"/>
    <w:tmpl w:val="6AF83E78"/>
    <w:lvl w:ilvl="0" w:tplc="12E4FAB4">
      <w:start w:val="1"/>
      <w:numFmt w:val="bullet"/>
      <w:lvlText w:val=""/>
      <w:lvlJc w:val="left"/>
      <w:pPr>
        <w:ind w:left="1429" w:hanging="360"/>
      </w:pPr>
      <w:rPr>
        <w:rFonts w:ascii="Symbol" w:hAnsi="Symbol" w:hint="default"/>
      </w:rPr>
    </w:lvl>
    <w:lvl w:ilvl="1" w:tplc="5EAC6458">
      <w:start w:val="1"/>
      <w:numFmt w:val="bullet"/>
      <w:lvlText w:val="o"/>
      <w:lvlJc w:val="left"/>
      <w:pPr>
        <w:ind w:left="2149" w:hanging="360"/>
      </w:pPr>
      <w:rPr>
        <w:rFonts w:ascii="Courier New" w:hAnsi="Courier New" w:cs="Courier New" w:hint="default"/>
      </w:rPr>
    </w:lvl>
    <w:lvl w:ilvl="2" w:tplc="DBA6EAD2">
      <w:start w:val="1"/>
      <w:numFmt w:val="bullet"/>
      <w:lvlText w:val=""/>
      <w:lvlJc w:val="left"/>
      <w:pPr>
        <w:ind w:left="2869" w:hanging="360"/>
      </w:pPr>
      <w:rPr>
        <w:rFonts w:ascii="Wingdings" w:hAnsi="Wingdings" w:hint="default"/>
      </w:rPr>
    </w:lvl>
    <w:lvl w:ilvl="3" w:tplc="04A8109A">
      <w:start w:val="1"/>
      <w:numFmt w:val="bullet"/>
      <w:lvlText w:val=""/>
      <w:lvlJc w:val="left"/>
      <w:pPr>
        <w:ind w:left="3589" w:hanging="360"/>
      </w:pPr>
      <w:rPr>
        <w:rFonts w:ascii="Symbol" w:hAnsi="Symbol" w:hint="default"/>
      </w:rPr>
    </w:lvl>
    <w:lvl w:ilvl="4" w:tplc="526C4FCC">
      <w:start w:val="1"/>
      <w:numFmt w:val="bullet"/>
      <w:lvlText w:val="o"/>
      <w:lvlJc w:val="left"/>
      <w:pPr>
        <w:ind w:left="4309" w:hanging="360"/>
      </w:pPr>
      <w:rPr>
        <w:rFonts w:ascii="Courier New" w:hAnsi="Courier New" w:cs="Courier New" w:hint="default"/>
      </w:rPr>
    </w:lvl>
    <w:lvl w:ilvl="5" w:tplc="9364EBD0">
      <w:start w:val="1"/>
      <w:numFmt w:val="bullet"/>
      <w:lvlText w:val=""/>
      <w:lvlJc w:val="left"/>
      <w:pPr>
        <w:ind w:left="5029" w:hanging="360"/>
      </w:pPr>
      <w:rPr>
        <w:rFonts w:ascii="Wingdings" w:hAnsi="Wingdings" w:hint="default"/>
      </w:rPr>
    </w:lvl>
    <w:lvl w:ilvl="6" w:tplc="46441222">
      <w:start w:val="1"/>
      <w:numFmt w:val="bullet"/>
      <w:lvlText w:val=""/>
      <w:lvlJc w:val="left"/>
      <w:pPr>
        <w:ind w:left="5749" w:hanging="360"/>
      </w:pPr>
      <w:rPr>
        <w:rFonts w:ascii="Symbol" w:hAnsi="Symbol" w:hint="default"/>
      </w:rPr>
    </w:lvl>
    <w:lvl w:ilvl="7" w:tplc="077808CA">
      <w:start w:val="1"/>
      <w:numFmt w:val="bullet"/>
      <w:lvlText w:val="o"/>
      <w:lvlJc w:val="left"/>
      <w:pPr>
        <w:ind w:left="6469" w:hanging="360"/>
      </w:pPr>
      <w:rPr>
        <w:rFonts w:ascii="Courier New" w:hAnsi="Courier New" w:cs="Courier New" w:hint="default"/>
      </w:rPr>
    </w:lvl>
    <w:lvl w:ilvl="8" w:tplc="AF247852">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7D9"/>
    <w:rsid w:val="000D390C"/>
    <w:rsid w:val="001877D9"/>
    <w:rsid w:val="00A90E6B"/>
    <w:rsid w:val="00B23D7E"/>
    <w:rsid w:val="00B34754"/>
    <w:rsid w:val="00B70918"/>
    <w:rsid w:val="00BB7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82FB3-172B-4ED4-8BBE-02AE63F7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000000"/>
          <w:left w:val="none" w:sz="0" w:space="0" w:color="000000"/>
          <w:bottom w:val="single" w:sz="4" w:space="0" w:color="ACCCEA" w:themeColor="accent1" w:themeTint="80"/>
          <w:right w:val="none" w:sz="0"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000000"/>
          <w:left w:val="none" w:sz="0" w:space="0" w:color="000000"/>
          <w:bottom w:val="none" w:sz="0"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000000"/>
          <w:left w:val="single" w:sz="4" w:space="0" w:color="ACCCEA" w:themeColor="accent1" w:themeTint="80"/>
          <w:bottom w:val="none" w:sz="0" w:space="0" w:color="000000"/>
          <w:right w:val="none" w:sz="0"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000000"/>
          <w:left w:val="none" w:sz="0" w:space="0" w:color="000000"/>
          <w:bottom w:val="single" w:sz="4" w:space="0" w:color="95AFDD" w:themeColor="accent5" w:themeTint="90"/>
          <w:right w:val="none" w:sz="0"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000000"/>
          <w:left w:val="none" w:sz="0" w:space="0" w:color="000000"/>
          <w:bottom w:val="none" w:sz="0"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000000"/>
          <w:left w:val="single" w:sz="4" w:space="0" w:color="95AFDD" w:themeColor="accent5" w:themeTint="90"/>
          <w:bottom w:val="none" w:sz="0" w:space="0" w:color="000000"/>
          <w:right w:val="none" w:sz="0"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000000"/>
          <w:left w:val="none" w:sz="0" w:space="0" w:color="000000"/>
          <w:bottom w:val="single" w:sz="4" w:space="0" w:color="5B9BD5" w:themeColor="accent1"/>
          <w:right w:val="none" w:sz="0"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000000"/>
          <w:left w:val="none" w:sz="0" w:space="0" w:color="000000"/>
          <w:bottom w:val="none" w:sz="0"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000000"/>
          <w:left w:val="single" w:sz="4" w:space="0" w:color="5B9BD5" w:themeColor="accent1"/>
          <w:bottom w:val="none" w:sz="0" w:space="0" w:color="000000"/>
          <w:right w:val="none" w:sz="0"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000000"/>
          <w:left w:val="none" w:sz="0" w:space="0" w:color="000000"/>
          <w:bottom w:val="single" w:sz="4" w:space="0" w:color="8DA9DB" w:themeColor="accent5" w:themeTint="9A"/>
          <w:right w:val="none" w:sz="0"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000000"/>
          <w:left w:val="none" w:sz="0" w:space="0" w:color="000000"/>
          <w:bottom w:val="none" w:sz="0"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000000"/>
          <w:left w:val="single" w:sz="4" w:space="0" w:color="8DA9DB" w:themeColor="accent5" w:themeTint="9A"/>
          <w:bottom w:val="none" w:sz="0" w:space="0" w:color="000000"/>
          <w:right w:val="none" w:sz="0"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paragraph" w:styleId="af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3390</Characters>
  <Application>Microsoft Office Word</Application>
  <DocSecurity>0</DocSecurity>
  <Lines>65</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Горбунова Дарья Андреевна</dc:creator>
  <cp:keywords/>
  <dc:description/>
  <cp:lastModifiedBy>Шевченко Ольга Викторовна</cp:lastModifiedBy>
  <cp:revision>2</cp:revision>
  <dcterms:created xsi:type="dcterms:W3CDTF">2025-04-16T07:45:00Z</dcterms:created>
  <dcterms:modified xsi:type="dcterms:W3CDTF">2025-04-16T07:45:00Z</dcterms:modified>
</cp:coreProperties>
</file>